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FC1" w:rsidRDefault="00DA6FC1" w:rsidP="00C80EE9">
      <w:pPr>
        <w:pStyle w:val="SWZ2"/>
        <w:rPr>
          <w:lang w:eastAsia="pl-PL"/>
        </w:rPr>
      </w:pPr>
      <w:bookmarkStart w:id="0" w:name="_GoBack"/>
      <w:bookmarkEnd w:id="0"/>
    </w:p>
    <w:p w:rsidR="00DA6FC1" w:rsidRDefault="00DA6FC1" w:rsidP="00D25F5B">
      <w:pPr>
        <w:pStyle w:val="SWZ4"/>
        <w:rPr>
          <w:lang w:eastAsia="pl-PL"/>
        </w:rPr>
      </w:pPr>
      <w:r>
        <w:rPr>
          <w:lang w:eastAsia="pl-PL"/>
        </w:rPr>
        <w:t xml:space="preserve">Opis przedmiotu zamówienia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1</w:t>
      </w:r>
    </w:p>
    <w:p w:rsidR="00DA6FC1" w:rsidRDefault="00DA6FC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DA6FC1" w:rsidRDefault="00DA6FC1" w:rsidP="00E91E8E">
      <w:pPr>
        <w:pStyle w:val="SWZ2"/>
        <w:rPr>
          <w:lang w:eastAsia="pl-PL"/>
        </w:rPr>
      </w:pPr>
    </w:p>
    <w:p w:rsidR="00DA6FC1" w:rsidRPr="008C3FEF" w:rsidRDefault="00DA6FC1" w:rsidP="00CE6A8F">
      <w:pPr>
        <w:pStyle w:val="SWZ4"/>
      </w:pPr>
      <w:r w:rsidRPr="008C3FEF">
        <w:t>Zamawiający:</w:t>
      </w:r>
    </w:p>
    <w:p w:rsidR="00DA6FC1" w:rsidRDefault="00DA6FC1" w:rsidP="00D16B7B">
      <w:pPr>
        <w:pStyle w:val="SWZ2"/>
      </w:pPr>
      <w:r>
        <w:rPr>
          <w:noProof/>
        </w:rPr>
        <w:t>Zespół Szkół Centrum Kształcenia Rolniczego w Wojsławicach</w:t>
      </w:r>
    </w:p>
    <w:p w:rsidR="00DA6FC1" w:rsidRDefault="00DA6FC1" w:rsidP="00D16B7B">
      <w:pPr>
        <w:pStyle w:val="SWZ2"/>
      </w:pPr>
      <w:r>
        <w:rPr>
          <w:noProof/>
        </w:rPr>
        <w:t>Wojsławice</w:t>
      </w:r>
      <w:r>
        <w:t xml:space="preserve"> </w:t>
      </w:r>
      <w:r>
        <w:rPr>
          <w:noProof/>
        </w:rPr>
        <w:t>118</w:t>
      </w:r>
    </w:p>
    <w:p w:rsidR="00DA6FC1" w:rsidRDefault="00DA6FC1" w:rsidP="00D16B7B">
      <w:pPr>
        <w:pStyle w:val="SWZ2"/>
        <w:rPr>
          <w:noProof/>
        </w:rPr>
      </w:pPr>
      <w:r>
        <w:rPr>
          <w:noProof/>
        </w:rPr>
        <w:t>98-220 Zduńska Wola</w:t>
      </w:r>
    </w:p>
    <w:p w:rsidR="00DA6FC1" w:rsidRDefault="00DA6FC1" w:rsidP="00D16B7B">
      <w:pPr>
        <w:pStyle w:val="SWZ2"/>
      </w:pPr>
      <w:r>
        <w:t xml:space="preserve">REGON: </w:t>
      </w:r>
      <w:r>
        <w:rPr>
          <w:noProof/>
        </w:rPr>
        <w:t>000095880</w:t>
      </w:r>
    </w:p>
    <w:p w:rsidR="00DA6FC1" w:rsidRDefault="00DA6FC1" w:rsidP="00D16B7B">
      <w:pPr>
        <w:pStyle w:val="SWZ2"/>
      </w:pPr>
      <w:r>
        <w:t xml:space="preserve">NIP: </w:t>
      </w:r>
      <w:r>
        <w:rPr>
          <w:noProof/>
        </w:rPr>
        <w:t>829-119-70-80</w:t>
      </w:r>
    </w:p>
    <w:p w:rsidR="00DA6FC1" w:rsidRDefault="00DA6FC1" w:rsidP="00CE6A8F">
      <w:pPr>
        <w:pStyle w:val="SWZ2"/>
        <w:rPr>
          <w:lang w:eastAsia="pl-PL"/>
        </w:rPr>
      </w:pPr>
    </w:p>
    <w:p w:rsidR="00DA6FC1" w:rsidRDefault="00DA6FC1" w:rsidP="00D16B7B">
      <w:pPr>
        <w:pStyle w:val="SWZ4"/>
      </w:pPr>
      <w:r>
        <w:t xml:space="preserve">Dotyczy: Postępowania o udzielenie zamówienia klasycznego </w:t>
      </w:r>
      <w:r w:rsidRPr="001E1FDB">
        <w:rPr>
          <w:noProof/>
        </w:rPr>
        <w:t>o wartości mniejszej niż progi unijne</w:t>
      </w:r>
      <w:r>
        <w:t xml:space="preserve"> prowadzonego w trybie </w:t>
      </w:r>
      <w:r w:rsidRPr="001E1FDB">
        <w:rPr>
          <w:noProof/>
        </w:rPr>
        <w:t>podstawowym</w:t>
      </w:r>
      <w:r>
        <w:t xml:space="preserve"> (na podstawie </w:t>
      </w:r>
      <w:r w:rsidRPr="001E1FDB">
        <w:rPr>
          <w:noProof/>
        </w:rPr>
        <w:t>art. 275 pkt 1</w:t>
      </w:r>
      <w:r>
        <w:t xml:space="preserve"> </w:t>
      </w:r>
      <w:r w:rsidRPr="001E1FDB">
        <w:rPr>
          <w:noProof/>
        </w:rPr>
        <w:t>PZP</w:t>
      </w:r>
      <w:r>
        <w:t xml:space="preserve">) na </w:t>
      </w:r>
      <w:r w:rsidRPr="001E1FDB">
        <w:rPr>
          <w:noProof/>
        </w:rPr>
        <w:t>dostawę</w:t>
      </w:r>
      <w:r>
        <w:t xml:space="preserve"> pn.: „</w:t>
      </w:r>
      <w:r w:rsidRPr="001E1FDB">
        <w:rPr>
          <w:noProof/>
        </w:rPr>
        <w:t>Unowocześnianie bazy dydaktycznej i demonstracyjnej na potrzeby edukacji w zakresie rolnictwa 4.0 etap 2</w:t>
      </w:r>
      <w:r>
        <w:t>”</w:t>
      </w:r>
    </w:p>
    <w:p w:rsidR="00DA6FC1" w:rsidRPr="00817564" w:rsidRDefault="00DA6FC1" w:rsidP="005D248B">
      <w:pPr>
        <w:pStyle w:val="SWZ3"/>
        <w:rPr>
          <w:lang w:eastAsia="pl-PL"/>
        </w:rPr>
      </w:pPr>
      <w:r>
        <w:rPr>
          <w:lang w:eastAsia="pl-PL"/>
        </w:rPr>
        <w:t>OPIS PRZEDMIOTU ZAMÓWIENIA</w:t>
      </w:r>
    </w:p>
    <w:p w:rsidR="00DA6FC1" w:rsidRDefault="00DA6FC1" w:rsidP="008115A9">
      <w:pPr>
        <w:pStyle w:val="SWZ2"/>
        <w:rPr>
          <w:lang w:eastAsia="pl-PL"/>
        </w:rPr>
      </w:pPr>
    </w:p>
    <w:p w:rsidR="00DA6FC1" w:rsidRDefault="00DA6FC1" w:rsidP="005D5D4C">
      <w:pPr>
        <w:pStyle w:val="SWZ5"/>
      </w:pPr>
      <w:r w:rsidRPr="005D5D4C">
        <w:t xml:space="preserve">Opis przedmiotu zamówienia (część </w:t>
      </w:r>
      <w:r>
        <w:t>1</w:t>
      </w:r>
      <w:r w:rsidRPr="005D5D4C">
        <w:t>) - załącznik nr 1.</w:t>
      </w:r>
      <w:r>
        <w:t>1</w:t>
      </w:r>
      <w:r w:rsidRPr="005D5D4C">
        <w:t>.</w:t>
      </w:r>
    </w:p>
    <w:p w:rsidR="00DA6FC1" w:rsidRDefault="00DA6FC1" w:rsidP="00A07822">
      <w:pPr>
        <w:pStyle w:val="SWZ3"/>
      </w:pPr>
      <w:r>
        <w:t>Siewnik punktowy 6-rzędowy z nawożeniem około nasiennym z systemem ISOBUS i możliwością dwukierunkowej wymiany danych.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maszyna fabrycznie nowa, rok produkcji 2026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TUZ kat. III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Sekcja wysiewająca elektryczna sekcja do siewników punktowych – ma pozwalać na wysiew nasion z prędkością roboczą przekraczając 12km/h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Redlica talerzowa o średnicy min. 380 mm i max.390mm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Min. 1plastikowa tarcza wysiewająca na każdą sekcję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Oświetlenie sygnalizacyjne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Regulacja docisku hydrauliczna , siłownik na każdą sekcję wysiewająca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Rama teleskopowa, czas przestawienie międzyrzędzi +/-5 minut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Szerokość transportowa 3 m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Maszyna ISOBUS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Kompatybilność TC-SC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Maszyna standardowo kompatybilna z TC-GEO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proszek zapobiegający elektryzowaniu ziarna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Zbiornik na ziarno o pojemności min. 70 L z szczelnymi pokrywami na zatrzaski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2 koła podporowe ramy do kontroli położenia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Pełne opróżnianie układu wysiewającego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Regulowana pozycja elementów wysiewających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Minimum 330 kg nacisku na sekcję wysiewającą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Komplet tarcz do kukurydzy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Rozstaw rzędów regulowany co 5 cm, 45-50-55-60-65-70-75 cm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Turbina napędzana hydraulicznie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Podciśnieniowe, bardzo precyzyjne aparaty rozdzielające ziarna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 xml:space="preserve">Elektryczny napęd aparatów rozdzielających ziarno, silnikami </w:t>
      </w:r>
      <w:proofErr w:type="spellStart"/>
      <w:r>
        <w:rPr>
          <w:lang w:eastAsia="pl-PL"/>
        </w:rPr>
        <w:t>bezszczotkowymi</w:t>
      </w:r>
      <w:proofErr w:type="spellEnd"/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Elektryczny napęd dozowników podsiewacza nawozów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Podsiewacz nawozu o pojemności 1400 litrów ciśnieniowy z dwoma dozownikami napędzanymi elektrycznie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Pomost obsługowy z wysuwanymi schodkami, poręczami zabezpieczającymi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Rozgarniacze gwiaździste z bocznymi kołami kontrolującymi głębokość, pływające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Pośrednie koło dociskowe ze stali nierdzewnej z regulacją a także całkowitym zablokowaniem  w zależności od warunków polowych i atmosferycznych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Redlice podsiewające dwutalerzowe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lang w:eastAsia="pl-PL"/>
        </w:rPr>
      </w:pPr>
      <w:r>
        <w:rPr>
          <w:lang w:eastAsia="pl-PL"/>
        </w:rPr>
        <w:t>Regulowane koła zamykające, regulacja docisku a także kąta zamykania</w:t>
      </w:r>
    </w:p>
    <w:p w:rsidR="00DA6FC1" w:rsidRDefault="00DA6FC1" w:rsidP="00A07822">
      <w:pPr>
        <w:pStyle w:val="SWZ9"/>
        <w:numPr>
          <w:ilvl w:val="4"/>
          <w:numId w:val="44"/>
        </w:numPr>
        <w:rPr>
          <w:color w:val="000000"/>
        </w:rPr>
      </w:pPr>
      <w:r>
        <w:rPr>
          <w:color w:val="000000"/>
        </w:rPr>
        <w:t>Gwarancja min. 24 miesiące</w:t>
      </w:r>
    </w:p>
    <w:p w:rsidR="00DA6FC1" w:rsidRPr="00AC6789" w:rsidRDefault="00DA6FC1" w:rsidP="00A07822">
      <w:pPr>
        <w:pStyle w:val="SWZ2"/>
      </w:pPr>
    </w:p>
    <w:p w:rsidR="00DA6FC1" w:rsidRDefault="00DA6FC1" w:rsidP="005D5D4C">
      <w:pPr>
        <w:pStyle w:val="SWZ5"/>
      </w:pPr>
      <w:r w:rsidRPr="005D5D4C">
        <w:t xml:space="preserve">Opis przedmiotu zamówienia (część </w:t>
      </w:r>
      <w:r>
        <w:t>2</w:t>
      </w:r>
      <w:r w:rsidRPr="005D5D4C">
        <w:t>) - załącznik nr 1.</w:t>
      </w:r>
      <w:r>
        <w:t>2</w:t>
      </w:r>
      <w:r w:rsidRPr="005D5D4C">
        <w:t>.</w:t>
      </w:r>
    </w:p>
    <w:p w:rsidR="00DA6FC1" w:rsidRDefault="00DA6FC1" w:rsidP="005D5D4C">
      <w:pPr>
        <w:pStyle w:val="SWZ2"/>
      </w:pPr>
    </w:p>
    <w:p w:rsidR="00DA6FC1" w:rsidRDefault="00DA6FC1" w:rsidP="00D54F70">
      <w:pPr>
        <w:pStyle w:val="SWZ3"/>
      </w:pPr>
      <w:r>
        <w:t>Rozsiewacz nawozów z systemem ISOBUS i możliwością dwukierunkowej wymiany danych o pojemności 3000-3500 l.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Pojemność </w:t>
      </w:r>
      <w:r>
        <w:rPr>
          <w:lang w:eastAsia="pl-PL"/>
        </w:rPr>
        <w:t xml:space="preserve">min. </w:t>
      </w:r>
      <w:r w:rsidRPr="00C74117">
        <w:rPr>
          <w:lang w:eastAsia="pl-PL"/>
        </w:rPr>
        <w:t xml:space="preserve">3000l, pojemność zbiornika głównego </w:t>
      </w:r>
      <w:r>
        <w:rPr>
          <w:lang w:eastAsia="pl-PL"/>
        </w:rPr>
        <w:t>min.</w:t>
      </w:r>
      <w:r w:rsidRPr="00C74117">
        <w:rPr>
          <w:lang w:eastAsia="pl-PL"/>
        </w:rPr>
        <w:t>1250l + (2x550l + 2x325l) Nadstawy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Wysokość załadunku max. 1,65 m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Wysiew zwiększonych ilości nawozu do 650 kg/min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Możliwość wysiewu </w:t>
      </w:r>
      <w:proofErr w:type="spellStart"/>
      <w:r w:rsidRPr="00C74117">
        <w:rPr>
          <w:lang w:eastAsia="pl-PL"/>
        </w:rPr>
        <w:t>mikrogranulatów</w:t>
      </w:r>
      <w:proofErr w:type="spellEnd"/>
      <w:r w:rsidRPr="00C74117">
        <w:rPr>
          <w:lang w:eastAsia="pl-PL"/>
        </w:rPr>
        <w:t xml:space="preserve"> i nasion drobnych w dawce poniżej 5 kg/hektar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Masa z wagą max. 600 kg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Składana plandeka ze stelażem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Szerokość robocza 12-30m, regulowana poprzez zmianę punktu spadania nawozu na tarczę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Wałek napędowy 540 </w:t>
      </w:r>
      <w:proofErr w:type="spellStart"/>
      <w:r w:rsidRPr="00C74117">
        <w:rPr>
          <w:lang w:eastAsia="pl-PL"/>
        </w:rPr>
        <w:t>obr</w:t>
      </w:r>
      <w:proofErr w:type="spellEnd"/>
      <w:r w:rsidRPr="00C74117">
        <w:rPr>
          <w:lang w:eastAsia="pl-PL"/>
        </w:rPr>
        <w:t xml:space="preserve">./min. ze sprzęgłem jednokierunkowym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Bezobsługowa przekładnia zabezpieczana sprzęgłem ciernym z 2-letnią gwarancją producenta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Otwierane sita przeciwzbrylające metalowe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Osłony ochraniające mieszadło w kształcie leja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Układ wysiewający, zapewaniający cztero-warstwowe pokrycie pola nawozem.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Dno, kołnierz dna, osłony, tarcze wysiewające ze stali nierdzewnej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Mieszadło na mimośrodzie zapewniające stały przepływ nawozu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Uchylne oświetlenie drogowe LED z tablice odblaskowe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Możliwość otwierania osłony bezpieczeństwa bez użycia narzędzi w umożlwiające łatwy dostęp do czyszczenia, mycia i konserwacji maszyny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Prowadnice strumienia wody znajdujące się za tablicami odblaskowymi które odchylają strumień wody czyszcząc obszar trudno dostępny elementów konstrukcyjnych maszyny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Zestaw do określenia parametrów nawozu granulacji i gęstości, aby użyć metody przybliżonej do ustawień za pomocą aplikacji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Wskaźnik ustawienia pionu i kąta pochylenia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Elektryczne włączanie wysiewu granicznego do granicy pola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Drabinka składana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Łopatki rozsiewające ze stali manganowej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 pełni automatyczny system ważenia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Zaczep kat. II i III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Chlapacze z elastycznego tworzywa sztucznego z możliwością szybkiego demontażu w celu ułatwienia czyszczenia rozsiewacza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Kółka magazynowe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Elektryczne otwieranie zasuw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Czujnik poziomu nawozu w zbiorniku Prawa/Lewa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Możliwość manualnej zmiany dawki stopniowo co +/- 10 %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Wyświetlacz 10" Terminal ISOBAS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System nawigacji polowej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 xml:space="preserve">Nawożenie w oparciu o mapy zasobności gleby / mapy aplikacyjne  </w:t>
      </w:r>
    </w:p>
    <w:p w:rsidR="00DA6FC1" w:rsidRPr="00C74117" w:rsidRDefault="00DA6FC1" w:rsidP="00C74117">
      <w:pPr>
        <w:pStyle w:val="SWZ9"/>
        <w:rPr>
          <w:lang w:eastAsia="pl-PL"/>
        </w:rPr>
      </w:pPr>
      <w:r w:rsidRPr="00C74117">
        <w:rPr>
          <w:lang w:eastAsia="pl-PL"/>
        </w:rPr>
        <w:t>Obsługa kontroli sekcji 34.</w:t>
      </w:r>
      <w:r w:rsidRPr="00C74117">
        <w:rPr>
          <w:rFonts w:eastAsia="Arial" w:cs="Arial"/>
          <w:lang w:eastAsia="pl-PL"/>
        </w:rPr>
        <w:t xml:space="preserve"> </w:t>
      </w:r>
      <w:r w:rsidRPr="00C74117">
        <w:rPr>
          <w:lang w:eastAsia="pl-PL"/>
        </w:rPr>
        <w:t>Dwukierunkowa wymiana danych</w:t>
      </w:r>
    </w:p>
    <w:p w:rsidR="00DA6FC1" w:rsidRDefault="00DA6FC1" w:rsidP="005D5D4C">
      <w:pPr>
        <w:pStyle w:val="SWZ2"/>
      </w:pPr>
    </w:p>
    <w:p w:rsidR="00DA6FC1" w:rsidRDefault="00DA6FC1" w:rsidP="005D5D4C">
      <w:pPr>
        <w:pStyle w:val="SWZ2"/>
      </w:pPr>
    </w:p>
    <w:p w:rsidR="00DA6FC1" w:rsidRDefault="00DA6FC1" w:rsidP="005D5D4C">
      <w:pPr>
        <w:pStyle w:val="SWZ5"/>
      </w:pPr>
      <w:r w:rsidRPr="005D5D4C">
        <w:t xml:space="preserve">Opis przedmiotu zamówienia (część </w:t>
      </w:r>
      <w:r>
        <w:t>3</w:t>
      </w:r>
      <w:r w:rsidRPr="005D5D4C">
        <w:t>) - załącznik nr 1.</w:t>
      </w:r>
      <w:r>
        <w:t>3</w:t>
      </w:r>
      <w:r w:rsidRPr="005D5D4C">
        <w:t>.</w:t>
      </w:r>
    </w:p>
    <w:p w:rsidR="00DA6FC1" w:rsidRDefault="00DA6FC1" w:rsidP="005D5D4C">
      <w:pPr>
        <w:pStyle w:val="SWZ2"/>
      </w:pPr>
    </w:p>
    <w:p w:rsidR="00DA6FC1" w:rsidRDefault="00DA6FC1" w:rsidP="00D54F70">
      <w:pPr>
        <w:pStyle w:val="SWZ3"/>
      </w:pPr>
      <w:r>
        <w:t>Symulator opryskiwacza z systemem ISOBUS.</w:t>
      </w:r>
    </w:p>
    <w:p w:rsidR="00DA6FC1" w:rsidRDefault="00DA6FC1" w:rsidP="005D5D4C">
      <w:pPr>
        <w:pStyle w:val="SWZ2"/>
      </w:pPr>
    </w:p>
    <w:p w:rsidR="00DA6FC1" w:rsidRPr="0037618A" w:rsidRDefault="00DA6FC1" w:rsidP="0037618A">
      <w:pPr>
        <w:pStyle w:val="SWZ2"/>
        <w:rPr>
          <w:b/>
        </w:rPr>
      </w:pPr>
      <w:r w:rsidRPr="0037618A">
        <w:rPr>
          <w:b/>
        </w:rPr>
        <w:t>SYMULATOR PRACY OPRYSKIWACZA + SYSTEM KONTROLI SEKCJI ISOBUS</w:t>
      </w:r>
    </w:p>
    <w:p w:rsidR="00DA6FC1" w:rsidRDefault="00DA6FC1" w:rsidP="0037618A">
      <w:pPr>
        <w:pStyle w:val="SWZ9"/>
      </w:pPr>
      <w:r>
        <w:t xml:space="preserve">Zbiornik na wodę  min. 200 litrów </w:t>
      </w:r>
    </w:p>
    <w:p w:rsidR="00DA6FC1" w:rsidRDefault="00DA6FC1" w:rsidP="0037618A">
      <w:pPr>
        <w:pStyle w:val="SWZ9"/>
      </w:pPr>
      <w:r>
        <w:t>Pompa min. 100l/min</w:t>
      </w:r>
    </w:p>
    <w:p w:rsidR="00DA6FC1" w:rsidRDefault="00DA6FC1" w:rsidP="0037618A">
      <w:pPr>
        <w:pStyle w:val="SWZ9"/>
      </w:pPr>
      <w:r>
        <w:t>Sterownik do modernizacji każdego typu opryskiwacza, który nie przekracza 5 sekcji wody</w:t>
      </w:r>
    </w:p>
    <w:p w:rsidR="00DA6FC1" w:rsidRDefault="00DA6FC1" w:rsidP="0037618A">
      <w:pPr>
        <w:pStyle w:val="SWZ9"/>
      </w:pPr>
      <w:r>
        <w:lastRenderedPageBreak/>
        <w:t>Wyposażony dodatkowo w obsługę 5 funkcyjnej hydrauliki</w:t>
      </w:r>
    </w:p>
    <w:p w:rsidR="00DA6FC1" w:rsidRDefault="00DA6FC1" w:rsidP="0037618A">
      <w:pPr>
        <w:pStyle w:val="SWZ9"/>
      </w:pPr>
      <w:r>
        <w:t xml:space="preserve">Automatycznie ustawia dawkę oprysku na podstawie prędkości jazdy tak z GPS jak i z klasycznego czujnika indukcyjnego </w:t>
      </w:r>
    </w:p>
    <w:p w:rsidR="00DA6FC1" w:rsidRDefault="00DA6FC1" w:rsidP="0037618A">
      <w:pPr>
        <w:pStyle w:val="SWZ9"/>
      </w:pPr>
      <w:r>
        <w:t xml:space="preserve">Dokonuje precyzyjnego satelitarnego pomiaru prędkości z GPS, o dokładność 0.1km/h który nie wymaga sezonowej kalibracji </w:t>
      </w:r>
    </w:p>
    <w:p w:rsidR="00DA6FC1" w:rsidRDefault="00DA6FC1" w:rsidP="0037618A">
      <w:pPr>
        <w:pStyle w:val="SWZ9"/>
      </w:pPr>
      <w:r>
        <w:t xml:space="preserve">Współpracuje z nawigacją RTK , realizując automatyczne sterowanie sekcjami, w trakcie jeżdżenia po opryskanym. Możliwość zmiennego dawkowania na podstawie obserwacji satelitarnej lub badań gleby </w:t>
      </w:r>
    </w:p>
    <w:p w:rsidR="00DA6FC1" w:rsidRDefault="00DA6FC1" w:rsidP="0037618A">
      <w:pPr>
        <w:pStyle w:val="SWZ9"/>
      </w:pPr>
      <w:r>
        <w:t>Belka opryskiwacza z 10 głowicami 4 pozycyjna z kompletem dysz (anty-</w:t>
      </w:r>
      <w:proofErr w:type="spellStart"/>
      <w:r>
        <w:t>znoszeniowy</w:t>
      </w:r>
      <w:proofErr w:type="spellEnd"/>
      <w:r>
        <w:t xml:space="preserve">, szeroki zakres ciśnień, wirowy ceramiczny, eżektorowy płaskostrumieniowy, eżektorowy dwustrumieniowy) </w:t>
      </w:r>
    </w:p>
    <w:p w:rsidR="00DA6FC1" w:rsidRDefault="00DA6FC1" w:rsidP="0037618A">
      <w:pPr>
        <w:pStyle w:val="SWZ9"/>
      </w:pPr>
      <w:r>
        <w:t xml:space="preserve">Zawór sterujący kompletny minimum 5 sekcyjny z wyposażeniem </w:t>
      </w:r>
    </w:p>
    <w:p w:rsidR="00DA6FC1" w:rsidRDefault="00DA6FC1" w:rsidP="0037618A">
      <w:pPr>
        <w:pStyle w:val="SWZ9"/>
      </w:pPr>
      <w:r>
        <w:t xml:space="preserve">Elektro zawór główny </w:t>
      </w:r>
    </w:p>
    <w:p w:rsidR="00DA6FC1" w:rsidRDefault="00DA6FC1" w:rsidP="0037618A">
      <w:pPr>
        <w:pStyle w:val="SWZ9"/>
      </w:pPr>
      <w:r>
        <w:t xml:space="preserve">Elektrozawór proporcjonalny </w:t>
      </w:r>
    </w:p>
    <w:p w:rsidR="00DA6FC1" w:rsidRDefault="00DA6FC1" w:rsidP="0037618A">
      <w:pPr>
        <w:pStyle w:val="SWZ9"/>
      </w:pPr>
      <w:r>
        <w:t xml:space="preserve">Pokrętło regulacji ciśnienia </w:t>
      </w:r>
    </w:p>
    <w:p w:rsidR="00DA6FC1" w:rsidRDefault="00DA6FC1" w:rsidP="0037618A">
      <w:pPr>
        <w:pStyle w:val="SWZ9"/>
      </w:pPr>
      <w:r>
        <w:t xml:space="preserve">Rurka kompensacji wraz z pokrętłem </w:t>
      </w:r>
    </w:p>
    <w:p w:rsidR="00DA6FC1" w:rsidRDefault="00DA6FC1" w:rsidP="0037618A">
      <w:pPr>
        <w:pStyle w:val="SWZ9"/>
      </w:pPr>
      <w:r>
        <w:t xml:space="preserve">Filtr Rozdzielacza </w:t>
      </w:r>
    </w:p>
    <w:p w:rsidR="00DA6FC1" w:rsidRDefault="00DA6FC1" w:rsidP="0037618A">
      <w:pPr>
        <w:pStyle w:val="SWZ9"/>
      </w:pPr>
      <w:r>
        <w:t xml:space="preserve">Elektrozawory sekcyjne </w:t>
      </w:r>
    </w:p>
    <w:p w:rsidR="00DA6FC1" w:rsidRDefault="00DA6FC1" w:rsidP="0037618A">
      <w:pPr>
        <w:pStyle w:val="SWZ9"/>
      </w:pPr>
      <w:r>
        <w:t xml:space="preserve">Zawory sekcyjne </w:t>
      </w:r>
    </w:p>
    <w:p w:rsidR="00DA6FC1" w:rsidRDefault="00DA6FC1" w:rsidP="0037618A">
      <w:pPr>
        <w:pStyle w:val="SWZ9"/>
      </w:pPr>
      <w:r>
        <w:t xml:space="preserve">Podstawa manometru z czujnikiem ciśnienia </w:t>
      </w:r>
    </w:p>
    <w:p w:rsidR="00DA6FC1" w:rsidRDefault="00DA6FC1" w:rsidP="0037618A">
      <w:pPr>
        <w:pStyle w:val="SWZ9"/>
      </w:pPr>
      <w:r>
        <w:t xml:space="preserve">IN- Podłączenie węża zasilającego </w:t>
      </w:r>
    </w:p>
    <w:p w:rsidR="00DA6FC1" w:rsidRDefault="00DA6FC1" w:rsidP="0037618A">
      <w:pPr>
        <w:pStyle w:val="SWZ9"/>
      </w:pPr>
      <w:r>
        <w:t xml:space="preserve">OUT A – Przelew z zaworu głównego </w:t>
      </w:r>
    </w:p>
    <w:p w:rsidR="00DA6FC1" w:rsidRDefault="00DA6FC1" w:rsidP="0037618A">
      <w:pPr>
        <w:pStyle w:val="SWZ9"/>
      </w:pPr>
      <w:r>
        <w:t xml:space="preserve">OUT B – Przelew z części kompensacyjnej </w:t>
      </w:r>
    </w:p>
    <w:p w:rsidR="00DA6FC1" w:rsidRDefault="00DA6FC1" w:rsidP="0037618A">
      <w:pPr>
        <w:pStyle w:val="SWZ9"/>
      </w:pPr>
      <w:r>
        <w:t xml:space="preserve">OUT C – Przelew z zaworu proporcjonalnego </w:t>
      </w:r>
    </w:p>
    <w:p w:rsidR="00DA6FC1" w:rsidRDefault="00DA6FC1" w:rsidP="0037618A">
      <w:pPr>
        <w:pStyle w:val="SWZ9"/>
      </w:pPr>
      <w:r>
        <w:t xml:space="preserve">OUT D – Wyjście cieczy z filtra rozdzielacza </w:t>
      </w:r>
    </w:p>
    <w:p w:rsidR="00DA6FC1" w:rsidRDefault="00DA6FC1" w:rsidP="0037618A">
      <w:pPr>
        <w:pStyle w:val="SWZ9"/>
      </w:pPr>
      <w:r>
        <w:t xml:space="preserve">OUT E – Wyjście ( w zależności od modelu mieszadło lub </w:t>
      </w:r>
      <w:proofErr w:type="spellStart"/>
      <w:r>
        <w:t>rozwadniaczy</w:t>
      </w:r>
      <w:proofErr w:type="spellEnd"/>
      <w:r>
        <w:t xml:space="preserve"> boczny) </w:t>
      </w:r>
    </w:p>
    <w:p w:rsidR="00DA6FC1" w:rsidRDefault="00DA6FC1" w:rsidP="0037618A">
      <w:pPr>
        <w:pStyle w:val="SWZ9"/>
      </w:pPr>
      <w:r>
        <w:t xml:space="preserve">U1…U5- Wyjście na poszczególne sekcje belki opryskiwacza: </w:t>
      </w:r>
    </w:p>
    <w:p w:rsidR="00DA6FC1" w:rsidRDefault="00DA6FC1" w:rsidP="005D0372">
      <w:pPr>
        <w:pStyle w:val="SWZ9"/>
        <w:numPr>
          <w:ilvl w:val="0"/>
          <w:numId w:val="0"/>
        </w:numPr>
        <w:jc w:val="left"/>
      </w:pPr>
      <w:r>
        <w:t xml:space="preserve">-Przepływomierz </w:t>
      </w:r>
    </w:p>
    <w:p w:rsidR="00DA6FC1" w:rsidRDefault="00DA6FC1" w:rsidP="005D0372">
      <w:pPr>
        <w:pStyle w:val="SWZ9"/>
        <w:numPr>
          <w:ilvl w:val="0"/>
          <w:numId w:val="0"/>
        </w:numPr>
        <w:jc w:val="left"/>
      </w:pPr>
      <w:r>
        <w:t>-Filtry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-Rozdzielacz sekcyjny HD </w:t>
      </w:r>
      <w:proofErr w:type="spellStart"/>
      <w:r>
        <w:t>Stałociśnieniowy</w:t>
      </w:r>
      <w:proofErr w:type="spellEnd"/>
      <w:r>
        <w:t xml:space="preserve"> kompletny minimum 5 sekcyjny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Sterowanie ISOBUS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Okablowanie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Wyświetlacz </w:t>
      </w:r>
    </w:p>
    <w:p w:rsidR="00DA6FC1" w:rsidRDefault="00DA6FC1" w:rsidP="005D0372">
      <w:pPr>
        <w:pStyle w:val="SWZ9"/>
        <w:numPr>
          <w:ilvl w:val="0"/>
          <w:numId w:val="0"/>
        </w:numPr>
      </w:pP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Komputer sterujący wraz z kompletem wiązek- przyłączy do maszyny różnego rodzaju.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-Wbudowany wskaźnik poziomu zbiornika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-Podłączenia do GPS i głównego zdalnego sterowania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-Gniazdo USB do przesyłania danych i aktualizacji programu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-Specjalne oprogramowanie do aplikacji: odchwaszczanie, opryskiwacz i oprysk wielorzędowy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-Wskaźnik poziomu cysterny(opcjonalny czujnik poziomu)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-Automatyczna kalibracja profilu cysterny, za pomocą przepływomierza liniowego, z możliwością eksportowania parametrów za pośrednictwem USB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-Automatyczna regulacja poprzez pomiar wydajności (za pomocą przepływomierza lub czujnika ciśnieniowego)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-Automatyczne zablokowanie opryskiwania poniżej minimalnej ustawionej prędkości tak, aby dysze mogły pracować bez przerwy wewnątrz ich stery zastosowania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-Automatyczne zamykanie głównego zaworu poniżej minimalnej prędkości pracy ustawionej przez użytkownika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-Możliwość zapisania w pamięci 10 konfiguracji pracy( dozowanie, dysze itp..), do przywoływania w momencie konieczności.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-Alarmy wizualne i dźwiękowe.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-Chwilowy wzrost i redukcja ilości rozdzielanego płynu.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>-Wielojęzykowe oprogramowanie z możliwością ustawienia różnych jednostek miary (</w:t>
      </w:r>
      <w:proofErr w:type="spellStart"/>
      <w:r>
        <w:t>ll</w:t>
      </w:r>
      <w:proofErr w:type="spellEnd"/>
      <w:r>
        <w:t xml:space="preserve">/ha, GPA, GPK, l/100m, itp..)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-Wyświetlane dane: dozowanie, prędkości, ciśnienie, natężenie przepływu, rozdzielona ilość, poziom cysterny, obrobiona powierzchnia, czas trwania zabiegu, przebieg. </w:t>
      </w:r>
    </w:p>
    <w:p w:rsidR="00DA6FC1" w:rsidRDefault="00DA6FC1" w:rsidP="005D0372">
      <w:pPr>
        <w:pStyle w:val="SWZ9"/>
        <w:numPr>
          <w:ilvl w:val="0"/>
          <w:numId w:val="0"/>
        </w:numPr>
      </w:pPr>
      <w:r>
        <w:t xml:space="preserve">Kompletny system nawigacji zintegrowany ze stanowiskiem symulatorem pracy opryskiwacza </w:t>
      </w:r>
    </w:p>
    <w:p w:rsidR="00DA6FC1" w:rsidRDefault="00DA6FC1" w:rsidP="00D13332">
      <w:pPr>
        <w:pStyle w:val="SWZ9"/>
        <w:numPr>
          <w:ilvl w:val="0"/>
          <w:numId w:val="43"/>
        </w:numPr>
      </w:pPr>
      <w:r>
        <w:t xml:space="preserve">Odbiornik GHSS z możliwością pracy w trybie satelitarnym i RTK, </w:t>
      </w:r>
    </w:p>
    <w:p w:rsidR="00DA6FC1" w:rsidRDefault="00DA6FC1" w:rsidP="00D13332">
      <w:pPr>
        <w:pStyle w:val="SWZ9"/>
        <w:numPr>
          <w:ilvl w:val="0"/>
          <w:numId w:val="43"/>
        </w:numPr>
      </w:pPr>
      <w:r>
        <w:t xml:space="preserve">Elektryczny sterownik kierownicy- bezinwazyjny montaż na kolumnie kierowniczej, </w:t>
      </w:r>
    </w:p>
    <w:p w:rsidR="00DA6FC1" w:rsidRDefault="00DA6FC1" w:rsidP="00D13332">
      <w:pPr>
        <w:pStyle w:val="SWZ9"/>
        <w:numPr>
          <w:ilvl w:val="0"/>
          <w:numId w:val="43"/>
        </w:numPr>
      </w:pPr>
      <w:r>
        <w:lastRenderedPageBreak/>
        <w:t xml:space="preserve">Konsola dotykowa min. 10 cali z obsługą ISOBUS-UT </w:t>
      </w:r>
    </w:p>
    <w:p w:rsidR="00DA6FC1" w:rsidRDefault="00DA6FC1" w:rsidP="00D13332">
      <w:pPr>
        <w:pStyle w:val="SWZ9"/>
        <w:numPr>
          <w:ilvl w:val="0"/>
          <w:numId w:val="43"/>
        </w:numPr>
      </w:pPr>
      <w:r>
        <w:t xml:space="preserve">Obsługa mapowania i automatyzacji obrotów na </w:t>
      </w:r>
      <w:proofErr w:type="spellStart"/>
      <w:r>
        <w:t>uwrociach</w:t>
      </w:r>
      <w:proofErr w:type="spellEnd"/>
      <w:r>
        <w:t xml:space="preserve"> </w:t>
      </w:r>
    </w:p>
    <w:p w:rsidR="00DA6FC1" w:rsidRDefault="00DA6FC1" w:rsidP="00D13332">
      <w:pPr>
        <w:pStyle w:val="SWZ9"/>
        <w:numPr>
          <w:ilvl w:val="0"/>
          <w:numId w:val="43"/>
        </w:numPr>
      </w:pPr>
      <w:r>
        <w:t xml:space="preserve">Łączność: USB, WI-FI </w:t>
      </w:r>
    </w:p>
    <w:p w:rsidR="00DA6FC1" w:rsidRDefault="00DA6FC1" w:rsidP="00547D81">
      <w:pPr>
        <w:pStyle w:val="SWZ9"/>
        <w:numPr>
          <w:ilvl w:val="0"/>
          <w:numId w:val="0"/>
        </w:numPr>
        <w:ind w:left="720"/>
      </w:pPr>
    </w:p>
    <w:p w:rsidR="00DA6FC1" w:rsidRDefault="00DA6FC1" w:rsidP="00547D81">
      <w:pPr>
        <w:pStyle w:val="SWZ2"/>
        <w:jc w:val="left"/>
      </w:pPr>
      <w:r>
        <w:t xml:space="preserve">-Przeszkolenie 5 pracowników z działania urządzenia </w:t>
      </w:r>
    </w:p>
    <w:p w:rsidR="00DA6FC1" w:rsidRDefault="00DA6FC1" w:rsidP="00547D81">
      <w:pPr>
        <w:pStyle w:val="SWZ2"/>
        <w:jc w:val="left"/>
      </w:pPr>
      <w:r>
        <w:t>-Dostawa do siedziby Zamawiającego</w:t>
      </w:r>
    </w:p>
    <w:p w:rsidR="00DA6FC1" w:rsidRPr="005D5D4C" w:rsidRDefault="00DA6FC1" w:rsidP="00547D81">
      <w:pPr>
        <w:pStyle w:val="SWZ2"/>
        <w:jc w:val="left"/>
      </w:pPr>
      <w:r>
        <w:t>-Gwarancja min 24 miesiące</w:t>
      </w:r>
    </w:p>
    <w:p w:rsidR="00DA6FC1" w:rsidRPr="005D5D4C" w:rsidRDefault="00DA6FC1" w:rsidP="005D5D4C">
      <w:pPr>
        <w:pStyle w:val="SWZ5"/>
      </w:pPr>
      <w:r w:rsidRPr="005D5D4C">
        <w:t xml:space="preserve">Opis przedmiotu zamówienia (część </w:t>
      </w:r>
      <w:r>
        <w:t>4</w:t>
      </w:r>
      <w:r w:rsidRPr="005D5D4C">
        <w:t>) - załącznik nr 1.</w:t>
      </w:r>
      <w:r>
        <w:t>4</w:t>
      </w:r>
      <w:r w:rsidRPr="005D5D4C">
        <w:t>.</w:t>
      </w:r>
    </w:p>
    <w:p w:rsidR="00DA6FC1" w:rsidRDefault="00DA6FC1" w:rsidP="008115A9">
      <w:pPr>
        <w:pStyle w:val="SWZ2"/>
        <w:rPr>
          <w:lang w:eastAsia="pl-PL"/>
        </w:rPr>
      </w:pPr>
    </w:p>
    <w:p w:rsidR="00DA6FC1" w:rsidRDefault="00DA6FC1" w:rsidP="007B3C1B">
      <w:pPr>
        <w:pStyle w:val="SWZ3"/>
      </w:pPr>
      <w:r>
        <w:t>Komputer z dyskiem 512 GB wraz z bezprzewodową klawiaturą i myszą.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5"/>
        <w:gridCol w:w="1958"/>
        <w:gridCol w:w="4649"/>
      </w:tblGrid>
      <w:tr w:rsidR="00DA6FC1" w:rsidRPr="00EC225F" w:rsidTr="006C3AEB">
        <w:trPr>
          <w:trHeight w:val="166"/>
        </w:trPr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Nazwa komponentu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Wymagania minimalne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Typ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Komputer stacjonarny. W ofercie wymagane jest podanie modelu, symbolu oraz producenta.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Zastosowanie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Komputer będzie wykorzystywany dla potrzeb aplikacji biurowych, aplikacji edukacyjnych, aplikacji obliczeniowych, dostępu do Internetu oraz poczty elektronicznej, jako lokalna baza danych, stacja programistyczna.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Obudowa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Typu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All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>-in-One zintegrowana z monitorem min. 23.8”. Systemu montażowy VESA 100. Suma wymiarów obudowy bez zainstalowanego standu maks. 96cm.</w:t>
            </w:r>
          </w:p>
        </w:tc>
      </w:tr>
      <w:tr w:rsidR="00DA6FC1" w:rsidRPr="00EC225F" w:rsidTr="006C3AEB">
        <w:tc>
          <w:tcPr>
            <w:tcW w:w="1045" w:type="pct"/>
            <w:vMerge w:val="restar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Typowe parametry wyświetlacza</w:t>
            </w: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Rozmiar i typ matrycy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23,8” IPS lub WVA</w:t>
            </w: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Rozdzielczość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FHD (1920x1080)</w:t>
            </w: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Częstotliwość odświeżania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100Hz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Jasność 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250 cd/m²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Kontrast 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1500:1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Barwa koloru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99%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sRGB</w:t>
            </w:r>
            <w:proofErr w:type="spellEnd"/>
            <w:r w:rsidRPr="00EC225F">
              <w:rPr>
                <w:rFonts w:asciiTheme="minorHAnsi" w:hAnsiTheme="minorHAnsi" w:cstheme="minorHAnsi"/>
                <w:bCs/>
                <w:color w:val="00B050"/>
                <w:szCs w:val="20"/>
                <w:lang w:val="en-US"/>
              </w:rPr>
              <w:t xml:space="preserve"> </w:t>
            </w:r>
          </w:p>
        </w:tc>
      </w:tr>
      <w:tr w:rsidR="00DA6FC1" w:rsidRPr="00EC225F" w:rsidTr="006C3AEB"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Poziome kąty widzenia 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178 stopni</w:t>
            </w:r>
          </w:p>
        </w:tc>
      </w:tr>
      <w:tr w:rsidR="00DA6FC1" w:rsidRPr="00EC225F" w:rsidTr="006C3AEB">
        <w:trPr>
          <w:trHeight w:val="382"/>
        </w:trPr>
        <w:tc>
          <w:tcPr>
            <w:tcW w:w="1045" w:type="pct"/>
            <w:vMerge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72" w:type="pct"/>
          </w:tcPr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Rodzaj matrycy</w:t>
            </w:r>
          </w:p>
        </w:tc>
        <w:tc>
          <w:tcPr>
            <w:tcW w:w="2783" w:type="pct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Matowa IPS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Płyta główna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Płyta główna zaprojektowana i wyprodukowana na zlecenie producenta komputera, trwale oznaczona logo producenta oferowanej jednostki, dedykowana dla danego urządzenia; wyposażona w min. 2 złącza SO - DIMM z obsługą do 64GB DDR5 pamięci RAM, min. 2 złącza M.2 dla dysku oraz 1 złącze M.2 karty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WiFi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>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Procesor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 xml:space="preserve">Procesor osiągający w teście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>Passmark</w:t>
            </w:r>
            <w:proofErr w:type="spellEnd"/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 xml:space="preserve"> CPU Mark, w kategorii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>Average</w:t>
            </w:r>
            <w:proofErr w:type="spellEnd"/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 xml:space="preserve"> CPU Mark wynik minimum 31000 pkt. według wyników opublikowanych na stronie </w:t>
            </w:r>
            <w:hyperlink r:id="rId8" w:history="1">
              <w:r w:rsidRPr="00EC225F">
                <w:rPr>
                  <w:rFonts w:asciiTheme="minorHAnsi" w:hAnsiTheme="minorHAnsi" w:cstheme="minorHAnsi"/>
                  <w:color w:val="0000FF"/>
                  <w:szCs w:val="20"/>
                  <w:u w:val="single"/>
                </w:rPr>
                <w:t>http://www.cpubenchmark.net/cpu_list.php</w:t>
              </w:r>
            </w:hyperlink>
            <w:r w:rsidRPr="00EC225F">
              <w:rPr>
                <w:rFonts w:asciiTheme="minorHAnsi" w:hAnsiTheme="minorHAnsi" w:cstheme="minorHAnsi"/>
                <w:bCs/>
                <w:color w:val="000000"/>
                <w:szCs w:val="20"/>
              </w:rPr>
              <w:t xml:space="preserve">. 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FF0000"/>
                <w:szCs w:val="20"/>
              </w:rPr>
            </w:pPr>
          </w:p>
        </w:tc>
      </w:tr>
      <w:tr w:rsidR="00DA6FC1" w:rsidRPr="00EC225F" w:rsidTr="006C3AEB">
        <w:trPr>
          <w:trHeight w:val="418"/>
        </w:trPr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Pamięć RAM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16 GB: 1x 16 GB pamięci DDR5 do 5600 MT/s bez funkcji ECC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Pamięć masowa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Dysk M.2 SSD  512GB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PCIe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NVMe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Karta graficzna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Zintegrowana z procesorem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Komunikacja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FF000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Karta sieciowa 10/100/1000 zintegrowana z płytą główną, wspierająca obsługę</w:t>
            </w:r>
            <w:r w:rsidRPr="00EC225F">
              <w:rPr>
                <w:rFonts w:asciiTheme="minorHAnsi" w:hAnsiTheme="minorHAnsi" w:cstheme="minorHAnsi"/>
                <w:bCs/>
                <w:i/>
                <w:color w:val="FF0000"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WoL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(funkcja włączana przez użytkownika), </w:t>
            </w:r>
          </w:p>
          <w:p w:rsidR="00DA6FC1" w:rsidRPr="00EC225F" w:rsidRDefault="00DA6FC1" w:rsidP="00EC225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EC225F">
              <w:rPr>
                <w:rFonts w:asciiTheme="minorHAnsi" w:eastAsia="Calibri" w:hAnsiTheme="minorHAnsi" w:cstheme="minorHAnsi"/>
                <w:bCs/>
                <w:szCs w:val="20"/>
              </w:rPr>
              <w:t xml:space="preserve">Karta Wi-Fi 6E AX z Bluetooth 5.3 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FF0000"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Wyposażenie multimedialne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Karta dźwiękowa zintegrowana z płytą główną, wbudowane dwa głośniki o mocy 2W każdy. 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lastRenderedPageBreak/>
              <w:t>Wbudowana w obudowę matrycy cyfrowa kamera Full HD mechanicznie chowana w obudowie (nie dopuszcza się kamer przekręcanych i wystających poza obrys obudowy).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color w:val="00B05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Wbudowane w obudowę dwa mikrofony</w:t>
            </w:r>
            <w:r w:rsidRPr="00EC225F">
              <w:rPr>
                <w:rFonts w:asciiTheme="minorHAnsi" w:hAnsiTheme="minorHAnsi" w:cstheme="minorHAnsi"/>
                <w:bCs/>
                <w:color w:val="00B050"/>
                <w:szCs w:val="20"/>
              </w:rPr>
              <w:t xml:space="preserve"> 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00B05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Wbudowany w obudowę czytnik kart pamięci SD 4.0 (nie dopuszcza się stosowania zewnętrznych czytników USB);</w:t>
            </w:r>
          </w:p>
        </w:tc>
      </w:tr>
      <w:tr w:rsidR="00DA6FC1" w:rsidRPr="00EC225F" w:rsidTr="006C3AEB">
        <w:trPr>
          <w:trHeight w:val="2092"/>
        </w:trPr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lastRenderedPageBreak/>
              <w:t>Porty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Porty wlutowane w płytę główną i wyprowadzone bezpośrednio bez stosowania przejściówek, adapterów, rozgałęziaczy itp.: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 x USB 3.2 Gen 2 Typu A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 x USB 3.2 Gen 1 Typu A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 x USB 3.2 Gen 2x2 Typu C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1 x USB 3.2 Gen 2 Typu C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1 x Port Audio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combo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(słuchawki i mikrofon)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1 x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DisplayPort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1.4a (wyjście wideo)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1 x HDMI 2.1 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Bezpieczeństwo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Dedykowany układ sprzętowy TPM min. 2.0.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Komputer musi być wyposażony w czujnik otwarcia obudowy współpracujący z oprogramowaniem zarządzająco – diagnostycznym.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Obudowa musi umożliwiać zastosowanie zabezpieczenia fizycznego w postaci linki metalowej (wbudowane w obudowę gniazdo blokady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Kensington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>) oraz kłódki (oczko w obudowie do założenia kłódki).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Ochrona oprogramowania układowego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tabs>
                <w:tab w:val="num" w:pos="283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Komputer wyposażony w mechanizm weryfikacji i ochrony BIOS/UEFI, działający automatycznie przy każdym uruchomieniu komputera poza warstwą systemu operacyjnego oraz w samym środowisku systemu operacyjnego. Mechanizm musi umożliwiać ochronę oprogramowania układowego poprzez weryfikację integralności BIOS/UEFI pod kątem próby jego modyfikacji oraz ataku w trakcie rozruchu komputera (również podczas uruchamiania systemu operacyjnego). Weryfikacja poprawności BIOS/UEFI musi odbywać się poza hostem.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BIOS/UEFI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tabs>
                <w:tab w:val="num" w:pos="283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Możliwość odczytania z BIOS informacji o: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Wersji BIOS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Numerze seryjnym komputera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Numerze inwentarzowym 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Typie (modelu) procesora, ilości rdzeni.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Zaimplementowanej sprzętowej technologii zdalnego zarządzania.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Ilości pamięci RAM, jej prędkości oraz obsadzeniu w slotach.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Pojemności i modelu zainstalowanego dysku.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MAC adresie zintegrowanej karty sieciowej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  <w:p w:rsidR="00DA6FC1" w:rsidRPr="00EC225F" w:rsidRDefault="00DA6FC1" w:rsidP="00EC225F">
            <w:pPr>
              <w:tabs>
                <w:tab w:val="num" w:pos="283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BIOS musi umożliwiać: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Włączenie/wyłączenie zintegrowanej karty sieciowej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Włączenie/wyłączenie karty sieci bezprzewodowej oraz Bluetooth (o ile występuje)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Włączenie/wyłączenie karty audio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Włączenie/wyłączenie poszczególnych portów USB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BIOS/UEFI bezpieczeństwo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tabs>
                <w:tab w:val="num" w:pos="283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 celu zapewnienia możliwie najwyższego poziomu bezpieczeństwa danych organizacji, BIOS/UEFI musi umożliwiać: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Nadanie hasła administratora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Ustawienie hasła dla  zainstalowanego dysku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lastRenderedPageBreak/>
              <w:t xml:space="preserve">Ustawienie portów USB w trybie „No BOOT” 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Zarządzanie funkcją Wake on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Lan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oraz  PXE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Boot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zintegrowanej karty sieciowej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Zarządzanie funkcją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Secure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Boot</w:t>
            </w:r>
            <w:proofErr w:type="spellEnd"/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Zarządzanie układem TPM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Zarządzania funkcją tworzenia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recovery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BIOS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Zarządzania funkcją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downgrade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BIOS.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Zarządzanie czujnikiem otwarcia obudowy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tabs>
                <w:tab w:val="num" w:pos="283"/>
              </w:tabs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Zapisywanie incydentów w formacie tzw. logów z możliwością ich przejrzenia.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Bezpieczne usuwanie danych z zainstalowanego dysku zgodnie z wytycznymi NIST 800-88r1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Nadanie numeru inwentarzowego bezpośrednio w BIOS bez użycia dodatkowego oprogramowania. Nadany numer nie może być edytowalny w BIOS ani nie może ulec skasowaniu po jego aktualizacji.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Możliwość nadania hasła uniemożliwiającego rozruch systemu operacyjnego, możliwość zmiany tego hasła w BIOS musi być zachowana także po nadaniu hasła administratora.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Możliwość blokowania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upgrade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BIOS przez system operacyjny.</w:t>
            </w:r>
          </w:p>
          <w:p w:rsidR="00DA6FC1" w:rsidRPr="00EC225F" w:rsidRDefault="00DA6FC1" w:rsidP="00EC225F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Blokowanie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downgrade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BIOS w celu zapewnienia kompatybilności z poprawkami systemu operacyjnego.</w:t>
            </w:r>
          </w:p>
          <w:p w:rsidR="00DA6FC1" w:rsidRPr="00EC225F" w:rsidRDefault="00DA6FC1" w:rsidP="00EC225F">
            <w:pPr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lastRenderedPageBreak/>
              <w:t>Oprogramowanie diagnostyczne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 xml:space="preserve">System diagnostyczny z graficznym interfejsem użytkownika, działający poza środowiskiem systemu operacyjnego, dostępny z poziomu BIOS lub szybkiego menu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>boot’owania</w:t>
            </w:r>
            <w:proofErr w:type="spellEnd"/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 xml:space="preserve">. 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 xml:space="preserve">System umożliwiający przetestowanie komponentów bez konieczności uruchamiania systemu operacyjnego. System musi posiadać wszystkie swoje funkcjonalności w przypadku: braku dysku, uszkodzenia dysku, sformatowania dysku, braku dostępu do sieci,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>internetu</w:t>
            </w:r>
            <w:proofErr w:type="spellEnd"/>
            <w:r w:rsidRPr="00EC225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>. Nie dopuszcza się stosowania wewnętrznych i zewnętrznych urządzeń w celu uzyskania funkcjonalności. Pełna obsługa systemu diagnostycznego za pomocą klawiatury i myszy jak i samej myszy. 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Zintegrowany wizualny system diagnostyczny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Wbudowany wizualny system diagnostyczny, zlokalizowany w obudowie lub w przycisku włączania, działający w oparciu  sygnalizację LED, służący do sygnalizowania i diagnozowania problemów z komputerem i jego komponentami poprzez zmianę statusów wyświetlania diody (miganie w określonej sekwencji oraz zmiana barw wyświetlania).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System diagnostyczny musi sygnalizować: uszkodzenie lub brak pamięci RAM, uszkodzenie płyty głównej, awarię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BIOS’u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, awarię procesora. 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Oferowany system diagnostyczny nie może wykorzystywać minimalnej ilości wolnych slotów na płycie głównej, wymaganych wnęk zewnętrznych w specyfikacji i dodatkowych oferowanych przez wykonawcę, oraz nie może być uzyskany przez konwertowanie, przerabianie innych złączy na płycie głównej nie wymienionych w specyfikacji a które nie są dedykowane dla systemu diagnostycznego.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  <w:lang w:val="en-US"/>
              </w:rPr>
            </w:pPr>
            <w:proofErr w:type="spellStart"/>
            <w:r w:rsidRPr="00EC225F">
              <w:rPr>
                <w:rFonts w:asciiTheme="minorHAnsi" w:hAnsiTheme="minorHAnsi" w:cstheme="minorHAnsi"/>
                <w:b/>
                <w:szCs w:val="20"/>
                <w:lang w:val="en-US"/>
              </w:rPr>
              <w:t>Zasilacz</w:t>
            </w:r>
            <w:proofErr w:type="spellEnd"/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Zasilacz wewnętrzny o mocy nie większej niż 160W i sprawności na poziomie 85% przy 50% obciążenia.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Zasilacz w oferowanym komputerze musi się znajdować na stronie </w:t>
            </w:r>
            <w:hyperlink r:id="rId9" w:history="1">
              <w:r w:rsidRPr="00EC225F">
                <w:rPr>
                  <w:rFonts w:asciiTheme="minorHAnsi" w:hAnsiTheme="minorHAnsi" w:cstheme="minorHAnsi"/>
                  <w:bCs/>
                  <w:color w:val="0000FF"/>
                  <w:szCs w:val="20"/>
                  <w:u w:val="single"/>
                </w:rPr>
                <w:t>https://www.clearesult.com/80plus/</w:t>
              </w:r>
            </w:hyperlink>
            <w:r w:rsidRPr="00EC225F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lub jej podstronach. 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Zdalne zarządzanie</w:t>
            </w:r>
          </w:p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 xml:space="preserve">Wbudowana w płytę główną technologia zdalnego monitorowania i zarządzania komputerem na poziomie sprzętowym (out-of-band) działająca niezależnie od stanu czy obecności systemu operacyjnego oraz stanu </w:t>
            </w: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>włączenia komputera podczas pracy na zasilaczu sieciowym AC.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  <w:t xml:space="preserve">Wymagana jest obsługa funkcji zdalnego zarządzania przez wbudowane w komputer porty zarówno sieci przewodowej LAN, jak i bezprzewodowej WLAN, z wykorzystaniem protokołów TCP/IP w tym IPv6 wraz z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szyfracją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komunikacji zarządzania z silnym protokołem minimum TLS 1.2 i  zestawami silnych szyfrów TLS_ECDHE_ECDSA_WITH_AES_256_GCM_SHA384;TLS_ECDHE_RSA_WITH_AES_256_GCM_SHA384 &amp; TLS_DHE_RSA_WITH_AES_256_GCM_SHA384 lub silniejszymi/nowocześniejszymi.</w:t>
            </w:r>
          </w:p>
          <w:p w:rsidR="00DA6FC1" w:rsidRPr="00EC225F" w:rsidRDefault="00DA6FC1" w:rsidP="00EC225F">
            <w:pPr>
              <w:rPr>
                <w:rFonts w:asciiTheme="minorHAnsi" w:hAnsiTheme="minorHAnsi" w:cstheme="minorHAnsi"/>
                <w:szCs w:val="20"/>
              </w:rPr>
            </w:pPr>
          </w:p>
          <w:p w:rsidR="00DA6FC1" w:rsidRPr="00EC225F" w:rsidRDefault="00DA6FC1" w:rsidP="00EC225F">
            <w:pPr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Technologia ta powinna być zgodna z otwartymi standardami DMTF WS-MAN 1.0.0 (</w:t>
            </w:r>
            <w:hyperlink r:id="rId10" w:history="1">
              <w:r w:rsidRPr="00EC225F">
                <w:rPr>
                  <w:rFonts w:asciiTheme="minorHAnsi" w:hAnsiTheme="minorHAnsi" w:cstheme="minorHAnsi"/>
                  <w:bCs/>
                  <w:color w:val="0000FF"/>
                  <w:szCs w:val="20"/>
                  <w:u w:val="single"/>
                </w:rPr>
                <w:t>http://www.dmtf.org/standards/wsman</w:t>
              </w:r>
            </w:hyperlink>
            <w:r w:rsidRPr="00EC225F">
              <w:rPr>
                <w:rFonts w:asciiTheme="minorHAnsi" w:hAnsiTheme="minorHAnsi" w:cstheme="minorHAnsi"/>
                <w:szCs w:val="20"/>
              </w:rPr>
              <w:t xml:space="preserve"> ) oraz DASH 1.2.0 (</w:t>
            </w:r>
            <w:hyperlink r:id="rId11" w:history="1">
              <w:r w:rsidRPr="00EC225F">
                <w:rPr>
                  <w:rFonts w:asciiTheme="minorHAnsi" w:hAnsiTheme="minorHAnsi" w:cstheme="minorHAnsi"/>
                  <w:bCs/>
                  <w:color w:val="0000FF"/>
                  <w:szCs w:val="20"/>
                  <w:u w:val="single"/>
                </w:rPr>
                <w:t>http://www.dmtf.org/standards/mgmt/dash</w:t>
              </w:r>
            </w:hyperlink>
            <w:r w:rsidRPr="00EC225F">
              <w:rPr>
                <w:rFonts w:asciiTheme="minorHAnsi" w:hAnsiTheme="minorHAnsi" w:cstheme="minorHAnsi"/>
                <w:szCs w:val="20"/>
              </w:rPr>
              <w:t>) oraz</w:t>
            </w:r>
          </w:p>
          <w:p w:rsidR="00DA6FC1" w:rsidRPr="00EC225F" w:rsidRDefault="00DA6FC1" w:rsidP="00EC225F">
            <w:pPr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musi obsługiwać łącznie wszystkie następujące funkcje:</w:t>
            </w:r>
          </w:p>
          <w:p w:rsidR="00DA6FC1" w:rsidRPr="00EC225F" w:rsidRDefault="00DA6FC1" w:rsidP="00EC225F">
            <w:pPr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Zdalny odczyt konfiguracji komponentów komputera – model komputera i jego nr seryjny, model procesora, ilość, rodzaj i nr seryjne modułów pamięci RAM, model i nr seryjny dysku HDD/SSD, wersja BIOS FW płyty głównej, nr seryjny płyty głównej, dla laptopów model, znamionowa pojemność, numer seryjny i data produkcji baterii;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</w:r>
          </w:p>
          <w:p w:rsidR="00DA6FC1" w:rsidRPr="00EC225F" w:rsidRDefault="00DA6FC1" w:rsidP="00EC225F">
            <w:pPr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kontrolę stanu zasilania komputera pozwalającą na sprawdzenie aktualnego stanu zasilania komputera (stany ACPI S0/S3/S4/S5) oraz zdalne włączenie komputera ze stanu pełnego wyłączenia, hibernacji, uśpienia i tzw. Modern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Standby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(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Connected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Standby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) oraz zdalne wyłączenie/reset bez udziału systemu operacyjnego;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</w:r>
          </w:p>
          <w:p w:rsidR="00DA6FC1" w:rsidRPr="00EC225F" w:rsidRDefault="00DA6FC1" w:rsidP="00EC225F">
            <w:pPr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zdalną konfigurację ustawień komputera przez interfejs BIOS setup w trybie graficznym lub tekstowym (ASCII).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</w:r>
          </w:p>
          <w:p w:rsidR="00DA6FC1" w:rsidRPr="00EC225F" w:rsidRDefault="00DA6FC1" w:rsidP="00EC225F">
            <w:pPr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zdalne przejęcie konsoli tekstowej systemu – tzw.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Text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Console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Redirection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lub Serial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over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LAN z możliwością jej wykorzystania do zdalnej zmiany ustawień BIOS Setup oraz odblokowania MS BitLocker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Recovery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.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</w:r>
          </w:p>
          <w:p w:rsidR="00DA6FC1" w:rsidRPr="00EC225F" w:rsidRDefault="00DA6FC1" w:rsidP="00EC225F">
            <w:pPr>
              <w:numPr>
                <w:ilvl w:val="0"/>
                <w:numId w:val="26"/>
              </w:numPr>
              <w:spacing w:after="0" w:line="240" w:lineRule="auto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zdalne przejęcie pełnej konsoli graficznej systemu tzw. KVM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Redirection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(Keyboard, Video, Mouse) na poziomie sprzętowym bez udziału systemu operacyjnego ani dodatkowych programów, również w przypadku braku lub uszkodzenia systemu operacyjnego do rozdzielczości 2560×1600 (WQXGA) włącznie zgodnie z profilem DSP1076 standardu DASH </w:t>
            </w:r>
            <w:hyperlink r:id="rId12" w:history="1">
              <w:r w:rsidRPr="00EC225F">
                <w:rPr>
                  <w:rFonts w:asciiTheme="minorHAnsi" w:hAnsiTheme="minorHAnsi" w:cstheme="minorHAnsi"/>
                  <w:bCs/>
                  <w:color w:val="0000FF"/>
                  <w:szCs w:val="20"/>
                  <w:u w:val="single"/>
                </w:rPr>
                <w:t>https://www.dmtf.org/sites/default/files/standards/documents/DSP1076_1.0.1.pdf</w:t>
              </w:r>
            </w:hyperlink>
            <w:r w:rsidRPr="00EC225F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  <w:p w:rsidR="00DA6FC1" w:rsidRPr="00EC225F" w:rsidRDefault="00DA6FC1" w:rsidP="00EC225F">
            <w:pPr>
              <w:ind w:left="720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br/>
              <w:t xml:space="preserve">Funkcja przekierowania konsoli graficznej musi przechwytywać każdy rodzaj wyświetlanego na fizycznym lokalnym ekranie obrazu włącznie z procesem uruchamiania komputera (POST), odblokowania systemu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szyfracji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dysku, ładowania OS z dowolnego nośnika, zamykania OS oraz błędów ww. procesów: POST, ładowania OS (np. brak nośnika </w:t>
            </w: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 xml:space="preserve">uruchamiającego, uszkodzenia OS BSOD (Blue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Screen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of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Death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) bez potrzeby modyfikacji tzw.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loadera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OS.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lastRenderedPageBreak/>
              <w:t>Wirtualizacja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Sprzętowe wsparcie technologii wirtualizacji realizowane łącznie w procesorze, chipsecie płyty głównej oraz w  BIOS systemu (możliwość włączenia/wyłączenia sprzętowego wsparcia wirtualizacji dla poszczególnych komponentów systemu).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System operacyjny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  <w:bdr w:val="none" w:sz="0" w:space="0" w:color="auto" w:frame="1"/>
              </w:rPr>
              <w:t xml:space="preserve">Zainstalowany system operacyjny Windows 11 – klucz licencyjny musi być zapisany trwale w BIOS i umożliwiać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  <w:bdr w:val="none" w:sz="0" w:space="0" w:color="auto" w:frame="1"/>
              </w:rPr>
              <w:t>reinstalację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  <w:bdr w:val="none" w:sz="0" w:space="0" w:color="auto" w:frame="1"/>
              </w:rPr>
              <w:t xml:space="preserve"> systemu operacyjnego bez potrzeby ręcznego wpisywania klucza licencyjnego.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Certyfikaty i standardy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Certyfikat ISO 9001 dla producenta komputera (załączyć do oferty dokument potwierdzający spełnianie wymogu)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Certyfikat ISO 14001 dla producenta komputera (załączyć do oferty dokument potwierdzający spełnianie wymogu)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Certyfikat ISO 50001 dla producenta komputera (załączyć do oferty dokument potwierdzający spełnianie wymogu)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Deklaracja zgodności CE (załączyć do oferty)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Certyfikat EPEAT </w:t>
            </w:r>
            <w:r w:rsidRPr="00EC225F">
              <w:rPr>
                <w:rFonts w:asciiTheme="minorHAnsi" w:hAnsiTheme="minorHAnsi" w:cstheme="minorHAnsi"/>
                <w:bCs/>
                <w:szCs w:val="20"/>
                <w:bdr w:val="none" w:sz="0" w:space="0" w:color="auto" w:frame="1"/>
              </w:rPr>
              <w:t>Silver</w:t>
            </w: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dla oferowanego modelu komputera, dla Polski lub kraju członkowskiego UE – do oferty należy załączyć wydruk ze strony </w:t>
            </w:r>
            <w:hyperlink r:id="rId13" w:history="1">
              <w:r w:rsidRPr="00EC225F">
                <w:rPr>
                  <w:rFonts w:asciiTheme="minorHAnsi" w:hAnsiTheme="minorHAnsi" w:cstheme="minorHAnsi"/>
                  <w:bCs/>
                  <w:color w:val="0000FF"/>
                  <w:szCs w:val="20"/>
                  <w:u w:val="single"/>
                </w:rPr>
                <w:t>https://www.epeat.net/search-computers-and-displays</w:t>
              </w:r>
            </w:hyperlink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 - załączyć do oferty wydruk z strony</w:t>
            </w:r>
          </w:p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Ergonomia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b/>
                <w:color w:val="00B05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Głośność jednostki centralnej mierzona zgodnie z normą ISO 7779 oraz wykazana zgodnie z normą ISO 9296 w pozycji obserwatora w trybie pracy dysku twardego (IDLE) wynosząca maksymalnie 28dB – załączyć raport badawczy z testów przeprowadzonych przez niezależną akredytowaną jednostkę lub oświadczenie producenta urządzenia.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Wymagania dodatkowe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Zamawiający wymaga, żeby dostawca wykonał instalację w miejscu wskazanym przez Zamawiającego, obejmującą instalację oprogramowania biurowego oraz konfigurację komputerów zgodnie z wytycznymi  Zamawiającego.  Bezprzewodowy zestaw klawiatura w układzie polski programisty oraz mysz optyczna.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Każdy komputer powinien być oznaczony niepowtarzalnym numerem seryjnym umieszczonym na obudowie oraz musi być wpisany na stałe w BIOS.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Wraz z komputerem należy dostarczyć dedykowany przez producenta komputera podstawę, montowaną do jednostki w sposób niewymagający użycia jakichkolwiek narzędzi. 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Podstawa jednostki typu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All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 – in – One musi umożliwiać: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Regulację pochyłu pionowego w zakresie od -5 do 30 stopni.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Regulację wysokości w zakresie minimum 10 cm.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 xml:space="preserve">Ustawienie jednostki w trybie </w:t>
            </w:r>
            <w:proofErr w:type="spellStart"/>
            <w:r w:rsidRPr="00EC225F">
              <w:rPr>
                <w:rFonts w:asciiTheme="minorHAnsi" w:hAnsiTheme="minorHAnsi" w:cstheme="minorHAnsi"/>
                <w:bCs/>
                <w:szCs w:val="20"/>
              </w:rPr>
              <w:t>Pivot</w:t>
            </w:r>
            <w:proofErr w:type="spellEnd"/>
            <w:r w:rsidRPr="00EC225F">
              <w:rPr>
                <w:rFonts w:asciiTheme="minorHAnsi" w:hAnsiTheme="minorHAnsi" w:cstheme="minorHAnsi"/>
                <w:bCs/>
                <w:szCs w:val="20"/>
              </w:rPr>
              <w:t>.</w:t>
            </w:r>
          </w:p>
          <w:p w:rsidR="00DA6FC1" w:rsidRPr="00EC225F" w:rsidRDefault="00DA6FC1" w:rsidP="00EC225F">
            <w:pPr>
              <w:spacing w:after="0"/>
              <w:jc w:val="both"/>
              <w:rPr>
                <w:rFonts w:asciiTheme="minorHAnsi" w:hAnsiTheme="minorHAnsi" w:cstheme="minorHAnsi"/>
                <w:bCs/>
                <w:color w:val="00B050"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Obrót podstawy w lewą oraz prawą stronę.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Wsparcie techniczne producenta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EC225F">
              <w:rPr>
                <w:rFonts w:asciiTheme="minorHAnsi" w:hAnsiTheme="minorHAnsi" w:cstheme="minorHAnsi"/>
                <w:bCs/>
                <w:szCs w:val="20"/>
              </w:rPr>
              <w:t>Dedykowany portal techniczny producenta, umożliwiający Zamawiającemu zgłaszanie awarii oraz samodzielne zamawianie zamiennych komponentów. Możliwość sprawdzenia kompletnych danych o urządzeniu na jednej witrynie internetowej prowadzonej przez producenta (automatyczna identyfikacja komputera, konfiguracja fabryczna, konfiguracja bieżąca, Rodzaj gwarancji, data wygaśnięcia gwarancji, data produkcji komputera, aktualizacje, diagnostyka, dedykowane oprogramowanie).</w:t>
            </w:r>
          </w:p>
        </w:tc>
      </w:tr>
      <w:tr w:rsidR="00DA6FC1" w:rsidRPr="00EC225F" w:rsidTr="006C3AEB"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t>Warunki gwarancji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Min. 2-letnia gwarancja producenta świadczona na miejscu u klienta wraz ze wsparciem technicznym dla fabrycznie zainstalowanych aplikacji. Długość gwarancji stanowi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pozacenowe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kryterium oceny ofert.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>Przyjmowanie zgłoszeń serwisowych w trybie 24/7/365 przez ogólnopolską linię telefoniczną oraz stronę internetową producenta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Czas reakcji serwisu - do końca następnego dnia roboczego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Firma serwisująca musi posiadać ISO 9001: 2015 na świadczenie usług serwisowych oraz posiadać autoryzacje producenta komputera – dokumenty potwierdzające załączyć do oferty.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Zamawiający wymaga narzędzia do zarządzania zgłoszeniami serwisowymi samodzielnie przez portal internetowy lub inne narzędzie nie wymagające działań po stronie dostawcy. Narzędzie powinno umożliwiać: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samodzielne wystawianie zgłoszeń serwisowych, śledzenie stanu zgłoszenia, komunikację z serwisem producenta przez edycję zlecenia i stanu zlecenia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dostęp do materiałów serwisowych - co najmniej podręczników serwisowych i not serwisowych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dostęp do materiałów szkoleniowych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możliwości dodawania plików do otwieranego lub otwartego zlecenia (zdjęcia uszkodzeń, opisy etc.) 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śledzenie historii zleceń - raporty ze zleceń, historia - dla poszczególnych zleceń lub dla poszczególnych komputerów 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możliwość samodzielnego zarządzania wysyłką części (decyzja o zamówieniu części zamiennych i diagnostyka po stronie zamawiającego) 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możliwość rejestrowania i zarządzania zdarzeniami serwisowymi - agregowania zdarzeń z oprogramowania zarządzającego dostarczonego przez producenta, możliwość konwertowania zdarzeń na zgłoszenia serwisowe do producenta - z poziomu narzędzia. 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możliwość spięcia systemu serwisowego producenta z systemem helpdesk zamawiającego (dostępność API co najmniej dla opcji wystawienie zlecenia, sprawdzenie stanu zlecenia, raport zleceń)</w:t>
            </w:r>
          </w:p>
        </w:tc>
      </w:tr>
      <w:tr w:rsidR="00DA6FC1" w:rsidRPr="00EC225F" w:rsidTr="006C3AEB">
        <w:trPr>
          <w:trHeight w:val="1435"/>
        </w:trPr>
        <w:tc>
          <w:tcPr>
            <w:tcW w:w="1045" w:type="pct"/>
          </w:tcPr>
          <w:p w:rsidR="00DA6FC1" w:rsidRPr="00EC225F" w:rsidRDefault="00DA6FC1" w:rsidP="00EC225F">
            <w:pPr>
              <w:spacing w:line="240" w:lineRule="auto"/>
              <w:rPr>
                <w:rFonts w:asciiTheme="minorHAnsi" w:hAnsiTheme="minorHAnsi" w:cstheme="minorHAnsi"/>
                <w:b/>
                <w:szCs w:val="20"/>
              </w:rPr>
            </w:pPr>
            <w:r w:rsidRPr="00EC225F">
              <w:rPr>
                <w:rFonts w:asciiTheme="minorHAnsi" w:hAnsiTheme="minorHAnsi" w:cstheme="minorHAnsi"/>
                <w:b/>
                <w:szCs w:val="20"/>
              </w:rPr>
              <w:lastRenderedPageBreak/>
              <w:t>Dodatkowe oprogramowanie</w:t>
            </w:r>
          </w:p>
        </w:tc>
        <w:tc>
          <w:tcPr>
            <w:tcW w:w="3955" w:type="pct"/>
            <w:gridSpan w:val="2"/>
          </w:tcPr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Oprogramowanie zarządzające producenta komputera instalowane na etapie produkcji urządzenia, umożliwiające: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monitorowanie komputera i generowanie zgłoszeń o błędach / nieprawidłowym działaniu w zakresie pracy komponentów i wydajności systemów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powiadamiania o nowych wersjach sterowników i umożliwienie użytkownikowi wykonania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upgrade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systemu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powiadamianie o problemach wydajnościowych i diagnozowanie / rozwiązywanie takich problemów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śledzenie kluczowych komponentów i przewidywanie awarii przed ich wystąpieniem.</w:t>
            </w:r>
          </w:p>
          <w:p w:rsidR="00DA6FC1" w:rsidRPr="00EC225F" w:rsidRDefault="00DA6FC1" w:rsidP="00EC225F">
            <w:pPr>
              <w:spacing w:line="240" w:lineRule="auto"/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Dołączone do oferowanego komputera oprogramowanie z nieograniczoną licencją czasowo na użytkowanie umożliwiające: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 xml:space="preserve">-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upgrade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i instalacje wszystkich sterowników, dostarczonych w obrazie systemu operacyjnego producenta,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BIOS’u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z certyfikatem zgodności producenta do najnowszej dostępnej wersji, 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możliwość przed instalacją sprawdzenia każdego sterownika,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BIOS’u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bezpośrednio na stronie producenta przy użyciu połączenia internetowego z automatycznym przekierowaniem a w szczególności informacji: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                a. o poprawkach i usprawnieniach dotyczących aktualizacji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                b. dacie wydania ostatniej aktualizacji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                c. priorytecie aktualizacji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                d. zgodność z systemami operacyjnymi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                e. jakiego komponentu sprzętu dotyczy aktualizacja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możliwość włączenia/wyłączenia funkcji automatycznego restartu w przypadku, kiedy jest wymagany przy instalacji sterownika, aplikacji, która tego wymaga.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rozpoznanie modelu oferowanego komputera, numer seryjny komputera, informację, kiedy dokonany został ostatnio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upgrade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w szczególności z uwzględnieniem daty (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dd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-mm-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rrrr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)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sprawdzenia historii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upgrade’u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z informacją jakie sterowniki były instalowane z dokładną datą (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dd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-mm-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rrrr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) i wersją (rewizja wydania)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- dokładny wykaz wymaganych sterowników, aplikacji, 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BIOS’u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 xml:space="preserve"> z informacją o zainstalowanej obecnie wersji dla oferowanego komputera z możliwością exportu do pliku o rozszerzeniu *.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xml</w:t>
            </w:r>
            <w:proofErr w:type="spellEnd"/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- raport uwzględniający informacje o: sprawdzaniu aktualizacji, znalezionych aktualizacjach, ściągniętych aktualizacjach, zainstalowanych aktualizacjach z dokładnym rozbiciem jakich komponentów to dotyczyło, błędach podczas sprawdzania, instalowania oraz możliwość exportu takiego raportu do pliku *.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xml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. Raport musi zawierać z dokładną datą (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dd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-mm-</w:t>
            </w:r>
            <w:proofErr w:type="spellStart"/>
            <w:r w:rsidRPr="00EC225F">
              <w:rPr>
                <w:rFonts w:asciiTheme="minorHAnsi" w:hAnsiTheme="minorHAnsi" w:cstheme="minorHAnsi"/>
                <w:szCs w:val="20"/>
              </w:rPr>
              <w:t>rrrr</w:t>
            </w:r>
            <w:proofErr w:type="spellEnd"/>
            <w:r w:rsidRPr="00EC225F">
              <w:rPr>
                <w:rFonts w:asciiTheme="minorHAnsi" w:hAnsiTheme="minorHAnsi" w:cstheme="minorHAnsi"/>
                <w:szCs w:val="20"/>
              </w:rPr>
              <w:t>) i godziną z podjętych i wykonanych akcji/zadań w przedziale czasowym do min. 1 roku.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Oprogramowanie umożliwiające aktualizację BIOS bezpośrednio z serwera producenta komputera przy wykorzystaniu bezpiecznego, szyfrowanego połączenia bez konieczności uruchamiania systemu operacyjnego oraz wykorzystywania zewnętrznych nośników pamięci masowej.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Oprogramowanie musi automatycznie rozpoznawać model urządzenia i bieżącą wersję BIOS.</w:t>
            </w:r>
            <w:r w:rsidRPr="00EC225F">
              <w:rPr>
                <w:rFonts w:asciiTheme="minorHAnsi" w:hAnsiTheme="minorHAnsi" w:cstheme="minorHAnsi"/>
                <w:szCs w:val="20"/>
              </w:rPr>
              <w:br/>
              <w:t>Oprogramowanie posiadające bezterminową licencję.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Możliwość zabezpieczenia dostępu do oprogramowania hasłem administratora.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 xml:space="preserve">Oprogramowanie umożliwiające przywrócenie obrazu systemu operacyjnego bezpośrednio z serwera producenta komputera przy wykorzystaniu </w:t>
            </w:r>
            <w:r w:rsidRPr="00EC225F">
              <w:rPr>
                <w:rFonts w:asciiTheme="minorHAnsi" w:hAnsiTheme="minorHAnsi" w:cstheme="minorHAnsi"/>
                <w:szCs w:val="20"/>
              </w:rPr>
              <w:lastRenderedPageBreak/>
              <w:t>bezpiecznego, szyfrowanego połączenia bez konieczności uruchamiania systemu operacyjnego.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W przypadku wystąpienia awarii oprogramowanie automatycznie uruchomi się i zapewni możliwość naprawy systemu operacyjnego lub przywrócenie go do stanu fabrycznego z możliwością dokonania kopii zapasowej plików przed uruchomieniem procesu.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Dodatkową funkcją oprogramowania jest możliwość wykonania kopii dysku (tzw. klonowania) wraz z plikami, ustawieniami aplikacji, systemem operacyjnym i jego ustawieniami.</w:t>
            </w:r>
          </w:p>
          <w:p w:rsidR="00DA6FC1" w:rsidRPr="00EC225F" w:rsidRDefault="00DA6FC1" w:rsidP="00EC225F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EC225F">
              <w:rPr>
                <w:rFonts w:asciiTheme="minorHAnsi" w:hAnsiTheme="minorHAnsi" w:cstheme="minorHAnsi"/>
                <w:szCs w:val="20"/>
              </w:rPr>
              <w:t>Licencja pozwalająca na bezpłatne korzystanie z oprogramowania przez cały okres gwarancji komputera.</w:t>
            </w:r>
          </w:p>
        </w:tc>
      </w:tr>
    </w:tbl>
    <w:p w:rsidR="00DA6FC1" w:rsidRDefault="00DA6FC1" w:rsidP="007B3C1B">
      <w:pPr>
        <w:pStyle w:val="SWZ2"/>
      </w:pPr>
    </w:p>
    <w:p w:rsidR="00DA6FC1" w:rsidRDefault="00DA6FC1" w:rsidP="007B3C1B">
      <w:pPr>
        <w:pStyle w:val="SWZ3"/>
      </w:pPr>
      <w:r>
        <w:t>Laptopy z dyskiem 1024 GB – 4 szt.</w:t>
      </w:r>
    </w:p>
    <w:p w:rsidR="00DA6FC1" w:rsidRDefault="00DA6FC1" w:rsidP="008115A9">
      <w:pPr>
        <w:pStyle w:val="SWZ2"/>
        <w:rPr>
          <w:lang w:eastAsia="pl-PL"/>
        </w:rPr>
      </w:pPr>
    </w:p>
    <w:tbl>
      <w:tblPr>
        <w:tblStyle w:val="Tabela-Siatka3"/>
        <w:tblW w:w="8359" w:type="dxa"/>
        <w:tblLook w:val="04A0" w:firstRow="1" w:lastRow="0" w:firstColumn="1" w:lastColumn="0" w:noHBand="0" w:noVBand="1"/>
      </w:tblPr>
      <w:tblGrid>
        <w:gridCol w:w="2405"/>
        <w:gridCol w:w="5954"/>
      </w:tblGrid>
      <w:tr w:rsidR="00DA6FC1" w:rsidRPr="00EC225F" w:rsidTr="00782D24">
        <w:tc>
          <w:tcPr>
            <w:tcW w:w="8359" w:type="dxa"/>
            <w:gridSpan w:val="2"/>
            <w:shd w:val="clear" w:color="auto" w:fill="D9D9D9" w:themeFill="background1" w:themeFillShade="D9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MINIMALNE WYMAGANIA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Komputer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Komputer mobilny będzie wykorzystywany dla potrzeb aplikacji biurowych, edukacyjnych, obliczeniowych, dostępu do Internetu oraz poczty elektronicznej.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Liczba sztuk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4 sztuk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Wydajność komputera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Oferowany komputer przenośny musi osiągać w teście wydajności :</w:t>
            </w:r>
          </w:p>
          <w:p w:rsidR="00DA6FC1" w:rsidRPr="00EC225F" w:rsidRDefault="00DA6FC1" w:rsidP="00EC225F">
            <w:pPr>
              <w:numPr>
                <w:ilvl w:val="0"/>
                <w:numId w:val="33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SYSMARK 25 – wynik min. 1250 – test z przeprowadzonej konfiguracji załączyć do oferty na wezwanie Zamawiającego.</w:t>
            </w:r>
          </w:p>
          <w:p w:rsidR="00DA6FC1" w:rsidRPr="00EC225F" w:rsidRDefault="00DA6FC1" w:rsidP="00EC225F">
            <w:pPr>
              <w:numPr>
                <w:ilvl w:val="0"/>
                <w:numId w:val="33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Wymagane testy wydajnościowe wykonawca musi przeprowadzić na automatycznych ustawieniach konfiguratora dołączonego przez firmę BAPCO i przy natywnej rozdzielczości wyświetlacza oraz włączonych wszystkich urządzaniach. Nie dopuszcza się stosowanie </w:t>
            </w:r>
            <w:proofErr w:type="spellStart"/>
            <w:r w:rsidRPr="00EC225F">
              <w:rPr>
                <w:rFonts w:cs="Arial"/>
                <w:bCs/>
                <w:szCs w:val="20"/>
              </w:rPr>
              <w:t>overclokingu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, oprogramowania wspomagającego pochodzącego z innego źródła niż fabrycznie zainstalowane oprogramowanie przez producenta, ingerowania w  ustawieniach BIOS (tzn. wyłączanie urządzeń stanowiących pełną konfigurację) jak również w samym środowisku systemu (tzn. zmniejszanie rozdzielczości, jasności i kontrastu itp.). </w:t>
            </w:r>
          </w:p>
          <w:p w:rsidR="00DA6FC1" w:rsidRPr="00EC225F" w:rsidRDefault="00DA6FC1" w:rsidP="00EC225F">
            <w:pPr>
              <w:numPr>
                <w:ilvl w:val="0"/>
                <w:numId w:val="33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Zamawiający zastrzega sobie, iż w celu sprawdzenia poprawności przeprowadzonych wszystkich wymaganych testów Oferent musi dostarczyć Zamawiającemu oprogramowanie testujące, komputer do testu oraz dokładny opis metodyki przeprowadzonego testu wraz z wynikami w celu ich sprawdzenia w terminie nie dłuższym niż 3 dni od otrzymania zawiadomienia od Zamawiającego.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Ekran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16” LED IPS FHD o rozdzielczości 1920x1080, z powłoką matową, nie dopuszcza się matryc typu "</w:t>
            </w:r>
            <w:proofErr w:type="spellStart"/>
            <w:r w:rsidRPr="00EC225F">
              <w:rPr>
                <w:rFonts w:cs="Arial"/>
                <w:szCs w:val="20"/>
              </w:rPr>
              <w:t>glare</w:t>
            </w:r>
            <w:proofErr w:type="spellEnd"/>
            <w:r w:rsidRPr="00EC225F">
              <w:rPr>
                <w:rFonts w:cs="Arial"/>
                <w:szCs w:val="20"/>
              </w:rPr>
              <w:t>". Klapa komputera otwierana do 180 stopni.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Obudowa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Waga nie większa niż 1,8kg, grubość nie przekraczająca 20mm. Obudowa wzmocniona, szkielet wykonany ze wzmocnionego aluminium. Obudowa musi spełniać standard MIL-STD 810G (potwierdzony w oficjalnych dokumentach producenta lub załączonym wynikiem z przeprowadzonych testów). Dopuszczalne kolory – czarny/srebrny.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lastRenderedPageBreak/>
              <w:t>Chipset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Zaprojektowany i wykonany do pracy w komputerach przenośnych rekomendowany przez producenta procesora.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Pamięć operacyjna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16GB DDR5 (pamięć RAM rozszerzalna do 32GB).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Dysk twardy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34"/>
              </w:numPr>
              <w:suppressAutoHyphens/>
              <w:spacing w:before="120"/>
              <w:ind w:left="458"/>
              <w:contextualSpacing/>
              <w:jc w:val="both"/>
              <w:rPr>
                <w:rFonts w:cs="Arial"/>
                <w:bCs/>
                <w:szCs w:val="20"/>
                <w:lang w:val="sv-SE"/>
              </w:rPr>
            </w:pPr>
            <w:r w:rsidRPr="00EC225F">
              <w:rPr>
                <w:rFonts w:cs="Arial"/>
                <w:szCs w:val="20"/>
              </w:rPr>
              <w:t xml:space="preserve">Min. 1 TB SSD M.2 zawierający partycję RECOVERY </w:t>
            </w:r>
            <w:r w:rsidRPr="00EC225F">
              <w:rPr>
                <w:rFonts w:cs="Arial"/>
                <w:bCs/>
                <w:szCs w:val="20"/>
                <w:lang w:val="sv-SE"/>
              </w:rPr>
              <w:t>– na partycji musi znajdować się obraz zainstalowanych i skonfigurowanych elementów tj.:</w:t>
            </w:r>
          </w:p>
          <w:p w:rsidR="00DA6FC1" w:rsidRPr="00EC225F" w:rsidRDefault="00DA6FC1" w:rsidP="00EC225F">
            <w:pPr>
              <w:numPr>
                <w:ilvl w:val="1"/>
                <w:numId w:val="34"/>
              </w:numPr>
              <w:suppressAutoHyphens/>
              <w:spacing w:before="120"/>
              <w:ind w:left="883"/>
              <w:contextualSpacing/>
              <w:jc w:val="both"/>
              <w:rPr>
                <w:rFonts w:cs="Arial"/>
                <w:bCs/>
                <w:szCs w:val="20"/>
                <w:lang w:val="sv-SE"/>
              </w:rPr>
            </w:pPr>
            <w:r w:rsidRPr="00EC225F">
              <w:rPr>
                <w:rFonts w:cs="Arial"/>
                <w:bCs/>
                <w:szCs w:val="20"/>
                <w:lang w:val="sv-SE"/>
              </w:rPr>
              <w:t>systemu operacyjnego</w:t>
            </w:r>
          </w:p>
          <w:p w:rsidR="00DA6FC1" w:rsidRPr="00EC225F" w:rsidRDefault="00DA6FC1" w:rsidP="00EC225F">
            <w:pPr>
              <w:numPr>
                <w:ilvl w:val="1"/>
                <w:numId w:val="34"/>
              </w:numPr>
              <w:suppressAutoHyphens/>
              <w:spacing w:before="120"/>
              <w:ind w:left="883"/>
              <w:contextualSpacing/>
              <w:jc w:val="both"/>
              <w:rPr>
                <w:rFonts w:cs="Arial"/>
                <w:bCs/>
                <w:szCs w:val="20"/>
                <w:lang w:val="sv-SE"/>
              </w:rPr>
            </w:pPr>
            <w:r w:rsidRPr="00EC225F">
              <w:rPr>
                <w:rFonts w:cs="Arial"/>
                <w:bCs/>
                <w:szCs w:val="20"/>
                <w:lang w:val="sv-SE"/>
              </w:rPr>
              <w:t>oprogramowania antywirusowego</w:t>
            </w:r>
          </w:p>
          <w:p w:rsidR="00DA6FC1" w:rsidRPr="00EC225F" w:rsidRDefault="00DA6FC1" w:rsidP="00EC225F">
            <w:pPr>
              <w:numPr>
                <w:ilvl w:val="0"/>
                <w:numId w:val="34"/>
              </w:numPr>
              <w:suppressAutoHyphens/>
              <w:spacing w:before="120"/>
              <w:ind w:left="458"/>
              <w:contextualSpacing/>
              <w:jc w:val="both"/>
              <w:rPr>
                <w:rFonts w:cs="Arial"/>
                <w:bCs/>
                <w:szCs w:val="20"/>
                <w:lang w:val="sv-SE"/>
              </w:rPr>
            </w:pPr>
            <w:r w:rsidRPr="00EC225F">
              <w:rPr>
                <w:rFonts w:cs="Arial"/>
                <w:bCs/>
                <w:szCs w:val="20"/>
                <w:lang w:val="sv-SE"/>
              </w:rPr>
              <w:t xml:space="preserve">Partycja musi zapewniać przywrócenie systemu operacyjnego, zainstalowanego i skonfigurowanego w/w oprogramowania.         </w:t>
            </w:r>
          </w:p>
          <w:p w:rsidR="00DA6FC1" w:rsidRPr="00EC225F" w:rsidRDefault="00DA6FC1" w:rsidP="00EC225F">
            <w:pPr>
              <w:numPr>
                <w:ilvl w:val="0"/>
                <w:numId w:val="34"/>
              </w:numPr>
              <w:suppressAutoHyphens/>
              <w:spacing w:before="120"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  <w:lang w:val="sv-SE"/>
              </w:rPr>
              <w:t>Możliwość instalacji wewnątrz obudowy drugiego dysku 2.5 cala.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Karta graficzna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Grafika zintegrowana z procesorem powinna umożliwiać pracę dwumonitorową ze wsparciem DirectX 12, </w:t>
            </w:r>
            <w:proofErr w:type="spellStart"/>
            <w:r w:rsidRPr="00EC225F">
              <w:rPr>
                <w:rFonts w:cs="Arial"/>
                <w:szCs w:val="20"/>
              </w:rPr>
              <w:t>OpenGL</w:t>
            </w:r>
            <w:proofErr w:type="spellEnd"/>
            <w:r w:rsidRPr="00EC225F">
              <w:rPr>
                <w:rFonts w:cs="Arial"/>
                <w:szCs w:val="20"/>
              </w:rPr>
              <w:t xml:space="preserve"> 4.5, pamięć współdzielona z pamięcią RAM, dynamicznie przydzielana.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Audio/Video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2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Wbudowana karta dźwiękowa, zgodna z HD Audio, </w:t>
            </w:r>
          </w:p>
          <w:p w:rsidR="00DA6FC1" w:rsidRPr="00EC225F" w:rsidRDefault="00DA6FC1" w:rsidP="00EC225F">
            <w:pPr>
              <w:numPr>
                <w:ilvl w:val="0"/>
                <w:numId w:val="2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Wbudowane głośniki dwa głośniki stereo, </w:t>
            </w:r>
          </w:p>
          <w:p w:rsidR="00DA6FC1" w:rsidRPr="00EC225F" w:rsidRDefault="00DA6FC1" w:rsidP="00EC225F">
            <w:pPr>
              <w:numPr>
                <w:ilvl w:val="0"/>
                <w:numId w:val="2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Wbudowane dwa mikrofony.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Karta sieciowa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Zintegrowana z płytą główną 10/100/1000 – RJ 45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Porty/Złącza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USB 3.2 - 2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USB </w:t>
            </w:r>
            <w:proofErr w:type="spellStart"/>
            <w:r w:rsidRPr="00EC225F">
              <w:rPr>
                <w:rFonts w:cs="Arial"/>
                <w:szCs w:val="20"/>
              </w:rPr>
              <w:t>Thunderbolt</w:t>
            </w:r>
            <w:proofErr w:type="spellEnd"/>
            <w:r w:rsidRPr="00EC225F">
              <w:rPr>
                <w:rFonts w:cs="Arial"/>
                <w:szCs w:val="20"/>
              </w:rPr>
              <w:t xml:space="preserve"> 4 - 1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USB 2.0 - 1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HDMI ze wsparciem HDCP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Czytnik kart pamięci SD lub </w:t>
            </w:r>
            <w:proofErr w:type="spellStart"/>
            <w:r w:rsidRPr="00EC225F">
              <w:rPr>
                <w:rFonts w:cs="Arial"/>
                <w:szCs w:val="20"/>
              </w:rPr>
              <w:t>microSD</w:t>
            </w:r>
            <w:proofErr w:type="spellEnd"/>
            <w:r w:rsidRPr="00EC225F">
              <w:rPr>
                <w:rFonts w:cs="Arial"/>
                <w:szCs w:val="20"/>
              </w:rPr>
              <w:t xml:space="preserve">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RJ-45 (LAN)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Wyjście słuchawkowe/wejście mikrofonowe (</w:t>
            </w:r>
            <w:proofErr w:type="spellStart"/>
            <w:r w:rsidRPr="00EC225F">
              <w:rPr>
                <w:rFonts w:cs="Arial"/>
                <w:szCs w:val="20"/>
              </w:rPr>
              <w:t>combo</w:t>
            </w:r>
            <w:proofErr w:type="spellEnd"/>
            <w:r w:rsidRPr="00EC225F">
              <w:rPr>
                <w:rFonts w:cs="Arial"/>
                <w:szCs w:val="20"/>
              </w:rPr>
              <w:t>) - 1 szt.</w:t>
            </w:r>
          </w:p>
          <w:p w:rsidR="00DA6FC1" w:rsidRPr="00EC225F" w:rsidRDefault="00DA6FC1" w:rsidP="00EC225F">
            <w:pPr>
              <w:numPr>
                <w:ilvl w:val="0"/>
                <w:numId w:val="28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Zasilanie DC-in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Klawiatura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Pełnowymiarowa klawiatura podświetlana z wydzielonymi pełnowymiarowymi klawiszami numerycznymi w prawej części klawiatury, w układzie US-QWERTY, polskie znaki zgodne z układem MS Windows "polski programistyczny", klawiatura podświetlana musi być wyposażona w 2 klawisze ALT (prawy i lewy).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proofErr w:type="spellStart"/>
            <w:r w:rsidRPr="00EC225F">
              <w:rPr>
                <w:rFonts w:cs="Arial"/>
                <w:szCs w:val="20"/>
              </w:rPr>
              <w:t>WiFi</w:t>
            </w:r>
            <w:proofErr w:type="spellEnd"/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Wbudowana karta sieciowa, pracująca w standardzie AX.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Bluetooth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Wbudowany moduł Bluetooth 5.0.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Urządzenie wskazujące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35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proofErr w:type="spellStart"/>
            <w:r w:rsidRPr="00EC225F">
              <w:rPr>
                <w:rFonts w:cs="Arial"/>
                <w:szCs w:val="20"/>
              </w:rPr>
              <w:t>Touch</w:t>
            </w:r>
            <w:proofErr w:type="spellEnd"/>
            <w:r w:rsidRPr="00EC225F">
              <w:rPr>
                <w:rFonts w:cs="Arial"/>
                <w:szCs w:val="20"/>
              </w:rPr>
              <w:t xml:space="preserve"> Pad (płytka dotykowa) wbudowana w obudowę notebooka. </w:t>
            </w:r>
          </w:p>
          <w:p w:rsidR="00DA6FC1" w:rsidRPr="00EC225F" w:rsidRDefault="00DA6FC1" w:rsidP="00EC225F">
            <w:pPr>
              <w:numPr>
                <w:ilvl w:val="0"/>
                <w:numId w:val="35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Czytnik linii papilarnych.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Kamera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Wbudowana, o parametrach: </w:t>
            </w:r>
          </w:p>
          <w:p w:rsidR="00DA6FC1" w:rsidRPr="00EC225F" w:rsidRDefault="00DA6FC1" w:rsidP="00EC225F">
            <w:pPr>
              <w:numPr>
                <w:ilvl w:val="0"/>
                <w:numId w:val="31"/>
              </w:numPr>
              <w:suppressAutoHyphens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HD 1280x720, 720p HD audio/video nagrywanie. </w:t>
            </w:r>
          </w:p>
          <w:p w:rsidR="00DA6FC1" w:rsidRPr="00EC225F" w:rsidRDefault="00DA6FC1" w:rsidP="00EC225F">
            <w:pPr>
              <w:numPr>
                <w:ilvl w:val="0"/>
                <w:numId w:val="31"/>
              </w:numPr>
              <w:suppressAutoHyphens/>
              <w:spacing w:before="120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Wbudowane dwa kierunkowe mikrofony. </w:t>
            </w:r>
          </w:p>
          <w:p w:rsidR="00DA6FC1" w:rsidRPr="00EC225F" w:rsidRDefault="00DA6FC1" w:rsidP="00EC225F">
            <w:pPr>
              <w:numPr>
                <w:ilvl w:val="0"/>
                <w:numId w:val="31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Mechaniczna przesłona kamery.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Bateria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proofErr w:type="spellStart"/>
            <w:r w:rsidRPr="00EC225F">
              <w:rPr>
                <w:rFonts w:cs="Arial"/>
                <w:szCs w:val="20"/>
              </w:rPr>
              <w:t>Litowo</w:t>
            </w:r>
            <w:proofErr w:type="spellEnd"/>
            <w:r w:rsidRPr="00EC225F">
              <w:rPr>
                <w:rFonts w:cs="Arial"/>
                <w:szCs w:val="20"/>
              </w:rPr>
              <w:t xml:space="preserve">-jonowa min. 41Whr – czas pracy min. 7h wyników testów BAPCO </w:t>
            </w:r>
            <w:proofErr w:type="spellStart"/>
            <w:r w:rsidRPr="00EC225F">
              <w:rPr>
                <w:rFonts w:cs="Arial"/>
                <w:szCs w:val="20"/>
              </w:rPr>
              <w:t>MobileMark</w:t>
            </w:r>
            <w:proofErr w:type="spellEnd"/>
            <w:r w:rsidRPr="00EC225F">
              <w:rPr>
                <w:rFonts w:cs="Arial"/>
                <w:szCs w:val="20"/>
              </w:rPr>
              <w:t xml:space="preserve"> 25 – test załączyć do oferty.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Zasilacz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Zewnętrzny, pracujący w sieci elektrycznej 230V 50/60Hz, max 90W.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Bezpieczeństwo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32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Zabezpieczenie BIOS hasłem użytkownika.</w:t>
            </w:r>
          </w:p>
          <w:p w:rsidR="00DA6FC1" w:rsidRPr="00EC225F" w:rsidRDefault="00DA6FC1" w:rsidP="00EC225F">
            <w:pPr>
              <w:numPr>
                <w:ilvl w:val="0"/>
                <w:numId w:val="32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Zabezpieczenie dysku twardego hasłem użytkownika.</w:t>
            </w:r>
          </w:p>
          <w:p w:rsidR="00DA6FC1" w:rsidRPr="00EC225F" w:rsidRDefault="00DA6FC1" w:rsidP="00EC225F">
            <w:pPr>
              <w:numPr>
                <w:ilvl w:val="0"/>
                <w:numId w:val="32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Zintegrowany z płytą główną dedykowany układ sprzętowy służący do tworzenia i zarządzania wygenerowanymi przez komputer kluczami szyfrowania. Zabezpieczenie to musi posiadać możliwość szyfrowania poufnych dokumentów przechowywanych na dysku twardym przy użyciu klucza sprzętowego - </w:t>
            </w:r>
            <w:proofErr w:type="spellStart"/>
            <w:r w:rsidRPr="00EC225F">
              <w:rPr>
                <w:rFonts w:cs="Arial"/>
                <w:bCs/>
                <w:szCs w:val="20"/>
              </w:rPr>
              <w:t>Trusted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 Platform Module 2.0.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Certyfikaty i standardy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29"/>
              </w:numPr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Certyfikat ISO 9001, 14001, 50 001 dla producenta sprzętu (należy załączyć do oferty).</w:t>
            </w:r>
          </w:p>
          <w:p w:rsidR="00DA6FC1" w:rsidRPr="00EC225F" w:rsidRDefault="00DA6FC1" w:rsidP="00EC225F">
            <w:pPr>
              <w:numPr>
                <w:ilvl w:val="0"/>
                <w:numId w:val="29"/>
              </w:numPr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lastRenderedPageBreak/>
              <w:t>Deklaracja zgodności CE i ROHS (załączyć do oferty).</w:t>
            </w:r>
          </w:p>
          <w:p w:rsidR="00DA6FC1" w:rsidRPr="00EC225F" w:rsidRDefault="00DA6FC1" w:rsidP="00EC225F">
            <w:pPr>
              <w:numPr>
                <w:ilvl w:val="0"/>
                <w:numId w:val="29"/>
              </w:numPr>
              <w:suppressAutoHyphens/>
              <w:spacing w:before="120"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Standard MIL-STD-810G (potwierdzony w oficjalnych dokumentach producenta lub załączonym wynikiem z przeprowadzonych testów).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lastRenderedPageBreak/>
              <w:t>System operacyjny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Windows 11 64 bit lub równoważny;</w:t>
            </w:r>
          </w:p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System operacyjny klasy PC musi spełniać następujące wymagania poprzez wbudowane mechanizmy, bez użycia dodatkowych aplikacji: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Dostępne dwa rodzaje graficznego interfejsu użytkownika:</w:t>
            </w:r>
          </w:p>
          <w:p w:rsidR="00DA6FC1" w:rsidRPr="00EC225F" w:rsidRDefault="00DA6FC1" w:rsidP="00EC225F">
            <w:pPr>
              <w:numPr>
                <w:ilvl w:val="1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Klasyczny, umożliwiający obsługę przy pomocy klawiatury i myszy,</w:t>
            </w:r>
          </w:p>
          <w:p w:rsidR="00DA6FC1" w:rsidRPr="00EC225F" w:rsidRDefault="00DA6FC1" w:rsidP="00EC225F">
            <w:pPr>
              <w:numPr>
                <w:ilvl w:val="1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Dotykowy umożliwiający sterowanie dotykiem na urządzeniach typu tablet lub monitorach dotykowych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Funkcje związane z obsługą komputerów typu tablet, z wbudowanym modułem „uczenia się” pisma użytkownika – obsługa języka polskiego.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Interfejs użytkownika dostępny w wielu językach do wyboru – w tym polskim i angielskim.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Wbudowane w system operacyjny minimum dwie przeglądarki Internetowe.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Zlokalizowane w języku polskim, co najmniej następujące elementy: menu, pomoc, komunikaty systemowe, menedżer plików.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Graficzne środowisko instalacji i konfiguracji dostępne w języku polskim.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Wbudowany system pomocy w języku polskim.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Możliwość przystosowania stanowiska dla osób niepełnosprawnych (np. słabo widzących).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Możliwość sterowania czasem dostarczania nowych wersji systemu operacyjnego, możliwość centralnego opóźniania dostarczania nowej wersji o minimum 4 miesiące.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Klucz produktu przypisany do komputera aby przy ponownej </w:t>
            </w:r>
            <w:proofErr w:type="spellStart"/>
            <w:r w:rsidRPr="00EC225F">
              <w:rPr>
                <w:rFonts w:cs="Arial"/>
                <w:szCs w:val="20"/>
              </w:rPr>
              <w:t>reinstalacji</w:t>
            </w:r>
            <w:proofErr w:type="spellEnd"/>
            <w:r w:rsidRPr="00EC225F">
              <w:rPr>
                <w:rFonts w:cs="Arial"/>
                <w:szCs w:val="20"/>
              </w:rPr>
              <w:t xml:space="preserve"> systemu nie było konieczności wpisywania klucza.</w:t>
            </w:r>
          </w:p>
          <w:p w:rsidR="00DA6FC1" w:rsidRPr="00EC225F" w:rsidRDefault="00DA6FC1" w:rsidP="00EC225F">
            <w:pPr>
              <w:numPr>
                <w:ilvl w:val="0"/>
                <w:numId w:val="30"/>
              </w:numPr>
              <w:suppressAutoHyphens/>
              <w:spacing w:before="120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Możliwość podłączenia do domeny Active Directory.</w:t>
            </w:r>
          </w:p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</w:p>
          <w:p w:rsidR="00DA6FC1" w:rsidRPr="00EC225F" w:rsidRDefault="00DA6FC1" w:rsidP="00EC225F">
            <w:pPr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 formularzu oferty trzeba podać nazwę oferowanego oprogramowania.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Diagnostyka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System diagnostyczny z graficznym interfejsem użytkownika dostępny z poziomu BIOS lub z poziomu menu </w:t>
            </w:r>
            <w:proofErr w:type="spellStart"/>
            <w:r w:rsidRPr="00EC225F">
              <w:rPr>
                <w:rFonts w:cs="Arial"/>
                <w:bCs/>
                <w:szCs w:val="20"/>
              </w:rPr>
              <w:t>boot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, umożliwiający przetestowanie  komponentów komputera. Pełna funkcjonalność systemu diagnostycznego musi być realizowana bez użycia: dostępu do sieci i </w:t>
            </w:r>
            <w:proofErr w:type="spellStart"/>
            <w:r w:rsidRPr="00EC225F">
              <w:rPr>
                <w:rFonts w:cs="Arial"/>
                <w:bCs/>
                <w:szCs w:val="20"/>
              </w:rPr>
              <w:t>internetu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, dysku twardego również w przypadku jego braku, urządzeń zewnętrznych i wewnętrznych typu: pamięć </w:t>
            </w:r>
            <w:proofErr w:type="spellStart"/>
            <w:r w:rsidRPr="00EC225F">
              <w:rPr>
                <w:rFonts w:cs="Arial"/>
                <w:bCs/>
                <w:szCs w:val="20"/>
              </w:rPr>
              <w:t>flash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, </w:t>
            </w:r>
            <w:proofErr w:type="spellStart"/>
            <w:r w:rsidRPr="00EC225F">
              <w:rPr>
                <w:rFonts w:cs="Arial"/>
                <w:bCs/>
                <w:szCs w:val="20"/>
              </w:rPr>
              <w:t>USBpen</w:t>
            </w:r>
            <w:proofErr w:type="spellEnd"/>
            <w:r w:rsidRPr="00EC225F">
              <w:rPr>
                <w:rFonts w:cs="Arial"/>
                <w:bCs/>
                <w:szCs w:val="20"/>
              </w:rPr>
              <w:t xml:space="preserve"> itp.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Gwarancja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36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Gwarancja producenta komputera min. 36 miesięcy</w:t>
            </w:r>
          </w:p>
          <w:p w:rsidR="00DA6FC1" w:rsidRPr="00EC225F" w:rsidRDefault="00DA6FC1" w:rsidP="00EC225F">
            <w:pPr>
              <w:numPr>
                <w:ilvl w:val="0"/>
                <w:numId w:val="36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lastRenderedPageBreak/>
              <w:t>Serwis urządzeń musi być realizowany przez producenta lub autoryzowanego partnera serwisowego producenta</w:t>
            </w:r>
          </w:p>
          <w:p w:rsidR="00DA6FC1" w:rsidRPr="00EC225F" w:rsidRDefault="00DA6FC1" w:rsidP="00EC225F">
            <w:pPr>
              <w:numPr>
                <w:ilvl w:val="0"/>
                <w:numId w:val="36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 xml:space="preserve">Autoryzowany Partner Serwisowy musi posiadać status autoryzowanego partnera serwisowego producenta komputera. </w:t>
            </w:r>
          </w:p>
          <w:p w:rsidR="00DA6FC1" w:rsidRPr="00EC225F" w:rsidRDefault="00DA6FC1" w:rsidP="00EC225F">
            <w:pPr>
              <w:numPr>
                <w:ilvl w:val="0"/>
                <w:numId w:val="36"/>
              </w:numPr>
              <w:suppressAutoHyphens/>
              <w:ind w:left="458"/>
              <w:contextualSpacing/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Serwis urządzeń musi być realizowany zgodnie z wymogami normy ISO9001</w:t>
            </w:r>
          </w:p>
          <w:p w:rsidR="00DA6FC1" w:rsidRPr="00EC225F" w:rsidRDefault="00DA6FC1" w:rsidP="00EC225F">
            <w:pPr>
              <w:numPr>
                <w:ilvl w:val="0"/>
                <w:numId w:val="36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bCs/>
                <w:szCs w:val="20"/>
              </w:rPr>
              <w:t>Wymagane okno czasowe dla zgłaszania usterek min. wszystkie dni robocze w godzinach od 8:00 do 20:00. Zgłoszenie serwisowe przyjmowane poprzez stronę www lub telefoniczne (dedykowany numer serwisowy do obsługi zgłoszeń serwisowych.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lastRenderedPageBreak/>
              <w:t>Wsparcie techniczne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numPr>
                <w:ilvl w:val="0"/>
                <w:numId w:val="3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Dostęp do aktualizacji systemu BIOS, podręczników użytkownika, najnowszych sterowników i uaktualnień na stronie producenta zestawu realizowany poprzez podanie na dedykowanej stronie internetowej producenta komputera numeru seryjnego lub modelu komputera – do oferty należy dołączyć link strony.</w:t>
            </w:r>
          </w:p>
          <w:p w:rsidR="00DA6FC1" w:rsidRPr="00EC225F" w:rsidRDefault="00DA6FC1" w:rsidP="00EC225F">
            <w:pPr>
              <w:numPr>
                <w:ilvl w:val="0"/>
                <w:numId w:val="3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Komputera.</w:t>
            </w:r>
          </w:p>
          <w:p w:rsidR="00DA6FC1" w:rsidRPr="00EC225F" w:rsidRDefault="00DA6FC1" w:rsidP="00EC225F">
            <w:pPr>
              <w:numPr>
                <w:ilvl w:val="0"/>
                <w:numId w:val="37"/>
              </w:numPr>
              <w:suppressAutoHyphens/>
              <w:ind w:left="458"/>
              <w:contextualSpacing/>
              <w:jc w:val="both"/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W celu uniknięcia błędów kompatybilności Zamawiający wymaga, aby wszystkie elementy zestawu oraz podzespoły montowane przez Producenta były przez niego certyfikowane. Wykonawca niebędący producentem oferowanego sprzętu nie może samodzielnie dokonywać jego modyfikacji.</w:t>
            </w:r>
          </w:p>
        </w:tc>
      </w:tr>
      <w:tr w:rsidR="00DA6FC1" w:rsidRPr="00EC225F" w:rsidTr="00782D24">
        <w:tc>
          <w:tcPr>
            <w:tcW w:w="2405" w:type="dxa"/>
          </w:tcPr>
          <w:p w:rsidR="00DA6FC1" w:rsidRPr="00EC225F" w:rsidRDefault="00DA6FC1" w:rsidP="00EC225F">
            <w:pPr>
              <w:rPr>
                <w:rFonts w:cs="Arial"/>
                <w:szCs w:val="20"/>
              </w:rPr>
            </w:pPr>
            <w:r w:rsidRPr="00EC225F">
              <w:rPr>
                <w:rFonts w:cs="Arial"/>
                <w:szCs w:val="20"/>
              </w:rPr>
              <w:t>Pozostałe</w:t>
            </w:r>
          </w:p>
        </w:tc>
        <w:tc>
          <w:tcPr>
            <w:tcW w:w="5954" w:type="dxa"/>
          </w:tcPr>
          <w:p w:rsidR="00DA6FC1" w:rsidRPr="00EC225F" w:rsidRDefault="00DA6FC1" w:rsidP="00EC225F">
            <w:pPr>
              <w:jc w:val="both"/>
              <w:rPr>
                <w:rFonts w:cs="Arial"/>
                <w:bCs/>
                <w:szCs w:val="20"/>
              </w:rPr>
            </w:pPr>
            <w:r w:rsidRPr="00EC225F">
              <w:rPr>
                <w:rFonts w:cs="Arial"/>
                <w:szCs w:val="20"/>
              </w:rPr>
              <w:t xml:space="preserve">Sprzęt ma być fabrycznie nowy tj. nieużywany, nieuszkodzony, nieregenerowany, nieobciążony prawami osób lub podmiotów trzecich i wyprodukowany nie wcześniej niż na 24 miesiące przed terminem składania ofert oraz pochodzić z legalnego kanału sprzedaży producenta. Wszystkie sztuki laptopów muszą pochodzić od jednego producenta.  </w:t>
            </w:r>
          </w:p>
        </w:tc>
      </w:tr>
    </w:tbl>
    <w:p w:rsidR="00DA6FC1" w:rsidRDefault="00DA6FC1" w:rsidP="008115A9">
      <w:pPr>
        <w:pStyle w:val="SWZ2"/>
        <w:rPr>
          <w:lang w:eastAsia="pl-PL"/>
        </w:rPr>
        <w:sectPr w:rsidR="00DA6FC1" w:rsidSect="001F6B8F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DA6FC1" w:rsidRDefault="00DA6FC1" w:rsidP="008115A9">
      <w:pPr>
        <w:pStyle w:val="SWZ2"/>
        <w:rPr>
          <w:lang w:eastAsia="pl-PL"/>
        </w:rPr>
        <w:sectPr w:rsidR="00DA6FC1" w:rsidSect="001F6B8F">
          <w:headerReference w:type="default" r:id="rId18"/>
          <w:footerReference w:type="default" r:id="rId19"/>
          <w:headerReference w:type="first" r:id="rId20"/>
          <w:footerReference w:type="first" r:id="rId21"/>
          <w:type w:val="continuous"/>
          <w:pgSz w:w="11906" w:h="16838" w:code="9"/>
          <w:pgMar w:top="1701" w:right="1559" w:bottom="1418" w:left="1985" w:header="142" w:footer="0" w:gutter="0"/>
          <w:cols w:space="708"/>
          <w:docGrid w:linePitch="360"/>
        </w:sectPr>
      </w:pPr>
    </w:p>
    <w:p w:rsidR="00DA6FC1" w:rsidRDefault="00DA6FC1" w:rsidP="008115A9">
      <w:pPr>
        <w:pStyle w:val="SWZ2"/>
        <w:rPr>
          <w:lang w:eastAsia="pl-PL"/>
        </w:rPr>
      </w:pPr>
    </w:p>
    <w:sectPr w:rsidR="00DA6FC1" w:rsidSect="00DA6FC1">
      <w:headerReference w:type="default" r:id="rId22"/>
      <w:footerReference w:type="default" r:id="rId23"/>
      <w:headerReference w:type="first" r:id="rId24"/>
      <w:footerReference w:type="first" r:id="rId25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E49" w:rsidRDefault="00986E49" w:rsidP="00785B79">
      <w:pPr>
        <w:spacing w:after="0" w:line="240" w:lineRule="auto"/>
      </w:pPr>
      <w:r>
        <w:separator/>
      </w:r>
    </w:p>
  </w:endnote>
  <w:endnote w:type="continuationSeparator" w:id="0">
    <w:p w:rsidR="00986E49" w:rsidRDefault="00986E49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-77409381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1735426531"/>
          <w:docPartObj>
            <w:docPartGallery w:val="Page Numbers (Top of Page)"/>
            <w:docPartUnique/>
          </w:docPartObj>
        </w:sdtPr>
        <w:sdtContent>
          <w:p w:rsidR="00DA6FC1" w:rsidRPr="00F705CC" w:rsidRDefault="00DA6FC1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DA6FC1" w:rsidRPr="00F705CC" w:rsidRDefault="00DA6FC1">
    <w:pPr>
      <w:pStyle w:val="Stopka"/>
      <w:rPr>
        <w:rFonts w:ascii="Arial" w:hAnsi="Arial" w:cs="Arial"/>
        <w:i w:val="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DA6FC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DA6FC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F571AF" w:rsidRDefault="00DA6FC1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DA6FC1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0C009F" w:rsidRDefault="00DA6FC1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DA6FC1" w:rsidRDefault="00DA6FC1" w:rsidP="001B56FD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-237895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-327449101"/>
          <w:docPartObj>
            <w:docPartGallery w:val="Page Numbers (Top of Page)"/>
            <w:docPartUnique/>
          </w:docPartObj>
        </w:sdtPr>
        <w:sdtContent>
          <w:p w:rsidR="00DA6FC1" w:rsidRPr="00F705CC" w:rsidRDefault="00DA6FC1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DA6FC1" w:rsidRPr="00F705CC" w:rsidRDefault="00DA6FC1">
    <w:pPr>
      <w:pStyle w:val="Stopka"/>
      <w:rPr>
        <w:rFonts w:ascii="Arial" w:hAnsi="Arial" w:cs="Arial"/>
        <w:i w:val="0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DA6FC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DA6FC1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F571AF" w:rsidRDefault="00DA6FC1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9" name="Obraz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DA6FC1" w:rsidRPr="00F571AF" w:rsidRDefault="00DA6FC1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DA6FC1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A6FC1" w:rsidRPr="000C009F" w:rsidRDefault="00DA6FC1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DA6FC1" w:rsidRDefault="00DA6FC1" w:rsidP="001B56FD">
    <w:pPr>
      <w:pStyle w:val="Stopka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74117" w:rsidRPr="00F705CC" w:rsidRDefault="00C74117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C74117" w:rsidRPr="00F705CC" w:rsidRDefault="00C74117">
    <w:pPr>
      <w:pStyle w:val="Stopka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C7411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74117" w:rsidRPr="00F571AF" w:rsidRDefault="00C74117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C74117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74117" w:rsidRPr="00F571AF" w:rsidRDefault="00C74117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C74117" w:rsidRPr="00F571AF" w:rsidRDefault="00C7411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C74117" w:rsidRPr="00F571AF" w:rsidRDefault="00C7411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C74117" w:rsidRPr="00F571AF" w:rsidRDefault="00C74117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C74117" w:rsidRPr="00F571AF" w:rsidRDefault="00C7411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C74117" w:rsidRPr="00F571AF" w:rsidRDefault="00C74117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C74117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74117" w:rsidRPr="000C009F" w:rsidRDefault="00C74117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C74117" w:rsidRDefault="00C74117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E49" w:rsidRDefault="00986E49" w:rsidP="00785B79">
      <w:pPr>
        <w:spacing w:after="0" w:line="240" w:lineRule="auto"/>
      </w:pPr>
      <w:r>
        <w:separator/>
      </w:r>
    </w:p>
  </w:footnote>
  <w:footnote w:type="continuationSeparator" w:id="0">
    <w:p w:rsidR="00986E49" w:rsidRDefault="00986E49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C1" w:rsidRDefault="00DA6FC1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8480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C1" w:rsidRDefault="00DA6FC1">
    <w:pPr>
      <w:pStyle w:val="Nagwek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C1" w:rsidRDefault="00DA6FC1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7" name="Obraz 7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6FC1" w:rsidRDefault="00DA6FC1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8" name="Obraz 8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117" w:rsidRDefault="00C74117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4117" w:rsidRDefault="00C74117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697426"/>
    <w:multiLevelType w:val="hybridMultilevel"/>
    <w:tmpl w:val="6A440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0DC74F04"/>
    <w:multiLevelType w:val="hybridMultilevel"/>
    <w:tmpl w:val="36BAF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033269A"/>
    <w:multiLevelType w:val="hybridMultilevel"/>
    <w:tmpl w:val="34B8CB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1">
    <w:nsid w:val="10E95F7C"/>
    <w:multiLevelType w:val="hybridMultilevel"/>
    <w:tmpl w:val="ECA6410A"/>
    <w:lvl w:ilvl="0" w:tplc="CB16A8E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1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1">
    <w:nsid w:val="21376A3B"/>
    <w:multiLevelType w:val="hybridMultilevel"/>
    <w:tmpl w:val="6FC2B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219059EF"/>
    <w:multiLevelType w:val="hybridMultilevel"/>
    <w:tmpl w:val="EDC2C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2B644EF3"/>
    <w:multiLevelType w:val="hybridMultilevel"/>
    <w:tmpl w:val="1E7CC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9CF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1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21" w15:restartNumberingAfterBreak="1">
    <w:nsid w:val="3DE66714"/>
    <w:multiLevelType w:val="hybridMultilevel"/>
    <w:tmpl w:val="56683E28"/>
    <w:lvl w:ilvl="0" w:tplc="E1A04B4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9C0AD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B2BCE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BAEC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E8D13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8EA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5C038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9AC8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0480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4104054A"/>
    <w:multiLevelType w:val="hybridMultilevel"/>
    <w:tmpl w:val="103079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1">
    <w:nsid w:val="41923A23"/>
    <w:multiLevelType w:val="hybridMultilevel"/>
    <w:tmpl w:val="F8489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1">
    <w:nsid w:val="41D54899"/>
    <w:multiLevelType w:val="multilevel"/>
    <w:tmpl w:val="D40A3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1">
    <w:nsid w:val="43C80DE1"/>
    <w:multiLevelType w:val="hybridMultilevel"/>
    <w:tmpl w:val="37BC8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1">
    <w:nsid w:val="545A3EAA"/>
    <w:multiLevelType w:val="hybridMultilevel"/>
    <w:tmpl w:val="7EDE9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1">
    <w:nsid w:val="571F0BCF"/>
    <w:multiLevelType w:val="multilevel"/>
    <w:tmpl w:val="6204C9D0"/>
    <w:numStyleLink w:val="Styl1"/>
  </w:abstractNum>
  <w:abstractNum w:abstractNumId="31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33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1">
    <w:nsid w:val="6BEE5DF8"/>
    <w:multiLevelType w:val="hybridMultilevel"/>
    <w:tmpl w:val="58F29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1">
    <w:nsid w:val="71883888"/>
    <w:multiLevelType w:val="hybridMultilevel"/>
    <w:tmpl w:val="FBB88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9" w15:restartNumberingAfterBreak="1">
    <w:nsid w:val="759D52AE"/>
    <w:multiLevelType w:val="hybridMultilevel"/>
    <w:tmpl w:val="5890F2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1">
    <w:nsid w:val="77C63C90"/>
    <w:multiLevelType w:val="hybridMultilevel"/>
    <w:tmpl w:val="405C9932"/>
    <w:lvl w:ilvl="0" w:tplc="4AAAD11E">
      <w:start w:val="1"/>
      <w:numFmt w:val="decimal"/>
      <w:lvlText w:val="%1."/>
      <w:lvlJc w:val="left"/>
      <w:pPr>
        <w:ind w:left="360" w:hanging="360"/>
      </w:pPr>
      <w:rPr>
        <w:rFonts w:ascii="SymbolMT" w:hAnsi="SymbolMT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1">
    <w:nsid w:val="7D242BF2"/>
    <w:multiLevelType w:val="hybridMultilevel"/>
    <w:tmpl w:val="3D101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9"/>
  </w:num>
  <w:num w:numId="3">
    <w:abstractNumId w:val="33"/>
  </w:num>
  <w:num w:numId="4">
    <w:abstractNumId w:val="41"/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2"/>
  </w:num>
  <w:num w:numId="15">
    <w:abstractNumId w:val="30"/>
  </w:num>
  <w:num w:numId="16">
    <w:abstractNumId w:val="3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1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5"/>
  </w:num>
  <w:num w:numId="27">
    <w:abstractNumId w:val="42"/>
  </w:num>
  <w:num w:numId="28">
    <w:abstractNumId w:val="0"/>
  </w:num>
  <w:num w:numId="29">
    <w:abstractNumId w:val="13"/>
  </w:num>
  <w:num w:numId="30">
    <w:abstractNumId w:val="14"/>
  </w:num>
  <w:num w:numId="31">
    <w:abstractNumId w:val="4"/>
  </w:num>
  <w:num w:numId="32">
    <w:abstractNumId w:val="27"/>
  </w:num>
  <w:num w:numId="33">
    <w:abstractNumId w:val="39"/>
  </w:num>
  <w:num w:numId="34">
    <w:abstractNumId w:val="16"/>
  </w:num>
  <w:num w:numId="35">
    <w:abstractNumId w:val="29"/>
  </w:num>
  <w:num w:numId="36">
    <w:abstractNumId w:val="37"/>
  </w:num>
  <w:num w:numId="37">
    <w:abstractNumId w:val="36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24"/>
  </w:num>
  <w:num w:numId="43">
    <w:abstractNumId w:val="25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2F4E"/>
    <w:rsid w:val="0002641E"/>
    <w:rsid w:val="00027307"/>
    <w:rsid w:val="000321B8"/>
    <w:rsid w:val="000400CB"/>
    <w:rsid w:val="00047861"/>
    <w:rsid w:val="00050035"/>
    <w:rsid w:val="00052D6A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04E44"/>
    <w:rsid w:val="00114E73"/>
    <w:rsid w:val="001155F2"/>
    <w:rsid w:val="001176F0"/>
    <w:rsid w:val="00122647"/>
    <w:rsid w:val="001228DC"/>
    <w:rsid w:val="0013097C"/>
    <w:rsid w:val="001319CC"/>
    <w:rsid w:val="00143E5F"/>
    <w:rsid w:val="00153E19"/>
    <w:rsid w:val="0016112D"/>
    <w:rsid w:val="0016172D"/>
    <w:rsid w:val="00164E9E"/>
    <w:rsid w:val="00167033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D6C0E"/>
    <w:rsid w:val="001F5467"/>
    <w:rsid w:val="001F5CC4"/>
    <w:rsid w:val="001F6096"/>
    <w:rsid w:val="001F6B8F"/>
    <w:rsid w:val="00202740"/>
    <w:rsid w:val="00204DCC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1D9D"/>
    <w:rsid w:val="00262761"/>
    <w:rsid w:val="00264803"/>
    <w:rsid w:val="00266D2E"/>
    <w:rsid w:val="0027046D"/>
    <w:rsid w:val="002733AC"/>
    <w:rsid w:val="00275EE9"/>
    <w:rsid w:val="002774D8"/>
    <w:rsid w:val="00280F2C"/>
    <w:rsid w:val="0028442B"/>
    <w:rsid w:val="002863F4"/>
    <w:rsid w:val="00291D33"/>
    <w:rsid w:val="00296975"/>
    <w:rsid w:val="002B490C"/>
    <w:rsid w:val="002C0FCB"/>
    <w:rsid w:val="002C16C5"/>
    <w:rsid w:val="002C2926"/>
    <w:rsid w:val="002D019A"/>
    <w:rsid w:val="002D5E32"/>
    <w:rsid w:val="002E0D00"/>
    <w:rsid w:val="002E7B46"/>
    <w:rsid w:val="002F2E7C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618A"/>
    <w:rsid w:val="0038497F"/>
    <w:rsid w:val="00386D5E"/>
    <w:rsid w:val="003A0137"/>
    <w:rsid w:val="003A171E"/>
    <w:rsid w:val="003A435C"/>
    <w:rsid w:val="003A6F33"/>
    <w:rsid w:val="003B29DE"/>
    <w:rsid w:val="003B3B63"/>
    <w:rsid w:val="003C1508"/>
    <w:rsid w:val="003C6FB5"/>
    <w:rsid w:val="003D1FB5"/>
    <w:rsid w:val="003D2267"/>
    <w:rsid w:val="003D62AF"/>
    <w:rsid w:val="003D6720"/>
    <w:rsid w:val="003E280F"/>
    <w:rsid w:val="003F2FA1"/>
    <w:rsid w:val="00400E6E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1060"/>
    <w:rsid w:val="005041FC"/>
    <w:rsid w:val="00506EC7"/>
    <w:rsid w:val="00507D1C"/>
    <w:rsid w:val="00512A97"/>
    <w:rsid w:val="0052221B"/>
    <w:rsid w:val="00537CCB"/>
    <w:rsid w:val="005462D8"/>
    <w:rsid w:val="005466E8"/>
    <w:rsid w:val="00547D81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C4B29"/>
    <w:rsid w:val="005D0372"/>
    <w:rsid w:val="005D248B"/>
    <w:rsid w:val="005D4EAA"/>
    <w:rsid w:val="005D50E1"/>
    <w:rsid w:val="005D5D4C"/>
    <w:rsid w:val="005D5F1F"/>
    <w:rsid w:val="005E1743"/>
    <w:rsid w:val="005E51E4"/>
    <w:rsid w:val="005E689D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857B3"/>
    <w:rsid w:val="006928D1"/>
    <w:rsid w:val="00695585"/>
    <w:rsid w:val="0069741B"/>
    <w:rsid w:val="006A0A0A"/>
    <w:rsid w:val="006A0C3F"/>
    <w:rsid w:val="006A10ED"/>
    <w:rsid w:val="006A2A4E"/>
    <w:rsid w:val="006A58B4"/>
    <w:rsid w:val="006A684A"/>
    <w:rsid w:val="006B4260"/>
    <w:rsid w:val="006B4741"/>
    <w:rsid w:val="006C3AEB"/>
    <w:rsid w:val="006C68B1"/>
    <w:rsid w:val="006D7EB0"/>
    <w:rsid w:val="006E13DE"/>
    <w:rsid w:val="006E3165"/>
    <w:rsid w:val="006F1469"/>
    <w:rsid w:val="006F6520"/>
    <w:rsid w:val="00702B09"/>
    <w:rsid w:val="00704E15"/>
    <w:rsid w:val="00705AAC"/>
    <w:rsid w:val="00707CC8"/>
    <w:rsid w:val="007100A0"/>
    <w:rsid w:val="00712108"/>
    <w:rsid w:val="00714356"/>
    <w:rsid w:val="00716591"/>
    <w:rsid w:val="00725309"/>
    <w:rsid w:val="00732731"/>
    <w:rsid w:val="007330EC"/>
    <w:rsid w:val="00741E44"/>
    <w:rsid w:val="0074690F"/>
    <w:rsid w:val="00750A4C"/>
    <w:rsid w:val="00761250"/>
    <w:rsid w:val="00761A28"/>
    <w:rsid w:val="00765818"/>
    <w:rsid w:val="00766EB4"/>
    <w:rsid w:val="00770F61"/>
    <w:rsid w:val="00774465"/>
    <w:rsid w:val="007757A7"/>
    <w:rsid w:val="00782D24"/>
    <w:rsid w:val="00785B79"/>
    <w:rsid w:val="00786563"/>
    <w:rsid w:val="00794BBA"/>
    <w:rsid w:val="007A0D77"/>
    <w:rsid w:val="007A53DC"/>
    <w:rsid w:val="007B3C1B"/>
    <w:rsid w:val="007B46BE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15A9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D00FE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86E49"/>
    <w:rsid w:val="009923A0"/>
    <w:rsid w:val="0099767A"/>
    <w:rsid w:val="009A177C"/>
    <w:rsid w:val="009A3171"/>
    <w:rsid w:val="009A45C1"/>
    <w:rsid w:val="009A6076"/>
    <w:rsid w:val="009B0C2D"/>
    <w:rsid w:val="009C291E"/>
    <w:rsid w:val="009C71FD"/>
    <w:rsid w:val="009E13E9"/>
    <w:rsid w:val="009E770E"/>
    <w:rsid w:val="009F1615"/>
    <w:rsid w:val="009F460F"/>
    <w:rsid w:val="009F6407"/>
    <w:rsid w:val="00A041FC"/>
    <w:rsid w:val="00A07127"/>
    <w:rsid w:val="00A07822"/>
    <w:rsid w:val="00A12534"/>
    <w:rsid w:val="00A35FF7"/>
    <w:rsid w:val="00A42C2A"/>
    <w:rsid w:val="00A43877"/>
    <w:rsid w:val="00A5139E"/>
    <w:rsid w:val="00A536B2"/>
    <w:rsid w:val="00A53700"/>
    <w:rsid w:val="00A62B54"/>
    <w:rsid w:val="00A737E1"/>
    <w:rsid w:val="00A74A50"/>
    <w:rsid w:val="00A7630C"/>
    <w:rsid w:val="00A9068B"/>
    <w:rsid w:val="00A927E4"/>
    <w:rsid w:val="00A9534A"/>
    <w:rsid w:val="00AA1918"/>
    <w:rsid w:val="00AB6C9B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69E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26B3F"/>
    <w:rsid w:val="00C348BE"/>
    <w:rsid w:val="00C35DBF"/>
    <w:rsid w:val="00C44408"/>
    <w:rsid w:val="00C5790B"/>
    <w:rsid w:val="00C605B8"/>
    <w:rsid w:val="00C65A3F"/>
    <w:rsid w:val="00C70EAD"/>
    <w:rsid w:val="00C74117"/>
    <w:rsid w:val="00C77E36"/>
    <w:rsid w:val="00C80EE9"/>
    <w:rsid w:val="00C91EFD"/>
    <w:rsid w:val="00C94FA2"/>
    <w:rsid w:val="00C97FD3"/>
    <w:rsid w:val="00CA0F0A"/>
    <w:rsid w:val="00CA2DAE"/>
    <w:rsid w:val="00CA5571"/>
    <w:rsid w:val="00CA60E9"/>
    <w:rsid w:val="00CB027A"/>
    <w:rsid w:val="00CB29E8"/>
    <w:rsid w:val="00CB2D69"/>
    <w:rsid w:val="00CC11F6"/>
    <w:rsid w:val="00CC72B1"/>
    <w:rsid w:val="00CD5F10"/>
    <w:rsid w:val="00CD73FF"/>
    <w:rsid w:val="00CE1746"/>
    <w:rsid w:val="00CE4E79"/>
    <w:rsid w:val="00CE5683"/>
    <w:rsid w:val="00CE653B"/>
    <w:rsid w:val="00CE6A8F"/>
    <w:rsid w:val="00D02245"/>
    <w:rsid w:val="00D032DB"/>
    <w:rsid w:val="00D04221"/>
    <w:rsid w:val="00D13332"/>
    <w:rsid w:val="00D1435D"/>
    <w:rsid w:val="00D146C2"/>
    <w:rsid w:val="00D154EE"/>
    <w:rsid w:val="00D16B7B"/>
    <w:rsid w:val="00D25F5B"/>
    <w:rsid w:val="00D3657E"/>
    <w:rsid w:val="00D51EA0"/>
    <w:rsid w:val="00D54F70"/>
    <w:rsid w:val="00D570E1"/>
    <w:rsid w:val="00D57EE3"/>
    <w:rsid w:val="00D63AE2"/>
    <w:rsid w:val="00D67118"/>
    <w:rsid w:val="00D84D76"/>
    <w:rsid w:val="00DA3C98"/>
    <w:rsid w:val="00DA4848"/>
    <w:rsid w:val="00DA5108"/>
    <w:rsid w:val="00DA6205"/>
    <w:rsid w:val="00DA6FC1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1049"/>
    <w:rsid w:val="00E344BB"/>
    <w:rsid w:val="00E34FC8"/>
    <w:rsid w:val="00E35DEF"/>
    <w:rsid w:val="00E50D20"/>
    <w:rsid w:val="00E53DE4"/>
    <w:rsid w:val="00E55DFE"/>
    <w:rsid w:val="00E605A9"/>
    <w:rsid w:val="00E62B91"/>
    <w:rsid w:val="00E7545E"/>
    <w:rsid w:val="00E76A02"/>
    <w:rsid w:val="00E8076B"/>
    <w:rsid w:val="00E82AD3"/>
    <w:rsid w:val="00E848DD"/>
    <w:rsid w:val="00E877DF"/>
    <w:rsid w:val="00E87C06"/>
    <w:rsid w:val="00E91A40"/>
    <w:rsid w:val="00E91E8E"/>
    <w:rsid w:val="00E9440D"/>
    <w:rsid w:val="00EC1FAF"/>
    <w:rsid w:val="00EC225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35A7"/>
    <w:rsid w:val="00F83976"/>
    <w:rsid w:val="00F85969"/>
    <w:rsid w:val="00F86BD4"/>
    <w:rsid w:val="00F90C65"/>
    <w:rsid w:val="00FA530F"/>
    <w:rsid w:val="00FB34C6"/>
    <w:rsid w:val="00FC279D"/>
    <w:rsid w:val="00FC3009"/>
    <w:rsid w:val="00FC3E07"/>
    <w:rsid w:val="00FC7DCD"/>
    <w:rsid w:val="00FD0FBE"/>
    <w:rsid w:val="00FD2580"/>
    <w:rsid w:val="00FD7EB9"/>
    <w:rsid w:val="00FE35BC"/>
    <w:rsid w:val="00FE6E06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C26B3F"/>
    <w:pPr>
      <w:numPr>
        <w:ilvl w:val="4"/>
        <w:numId w:val="1"/>
      </w:numPr>
      <w:spacing w:after="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C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26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1p4">
    <w:name w:val="v1p4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p1">
    <w:name w:val="v1p1"/>
    <w:basedOn w:val="Normalny"/>
    <w:rsid w:val="00C9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94FA2"/>
    <w:rPr>
      <w:i/>
      <w:iCs/>
    </w:rPr>
  </w:style>
  <w:style w:type="character" w:customStyle="1" w:styleId="v1field-content">
    <w:name w:val="v1field-content"/>
    <w:basedOn w:val="Domylnaczcionkaakapitu"/>
    <w:rsid w:val="00C94FA2"/>
  </w:style>
  <w:style w:type="table" w:customStyle="1" w:styleId="Tabela-Siatka5">
    <w:name w:val="Tabela - Siatka5"/>
    <w:basedOn w:val="Standardowy"/>
    <w:next w:val="Tabela-Siatka"/>
    <w:uiPriority w:val="39"/>
    <w:rsid w:val="006C68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13" Type="http://schemas.openxmlformats.org/officeDocument/2006/relationships/hyperlink" Target="https://www.epeat.net/search-computers-and-displays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www.dmtf.org/sites/default/files/standards/documents/DSP1076_1.0.1.pdf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mtf.org/standards/mgmt/dash" TargetMode="Externa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10" Type="http://schemas.openxmlformats.org/officeDocument/2006/relationships/hyperlink" Target="http://www.dmtf.org/standards/wsman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clearesult.com/80plus/" TargetMode="Externa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FE8F-D426-4855-859D-1336D3A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5013</Words>
  <Characters>30084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2026-02-16T13:32:00Z</cp:lastPrinted>
  <dcterms:created xsi:type="dcterms:W3CDTF">2026-04-08T18:11:00Z</dcterms:created>
  <dcterms:modified xsi:type="dcterms:W3CDTF">2026-04-08T18:11:00Z</dcterms:modified>
</cp:coreProperties>
</file>